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redakcionāli precizēt anotācijas 1.3. sadaļas apakšsadaļas "Pašreizējā situācija" 2. punkta pēdējo teikumu.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savas pārvaldības normatīvajos aktos pārņem tikai tās direktīvas 2020/2184 prasības, kas attiecināmas uz pārtikas uzņēmumā izmantojamā dzeramā ūdens, tostarp fasēta dzeramā ūdens, obligātajām nekaitīguma un kvalitātes prasībām, monitoringa un kontroles kārtību.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Inuta Kaļķe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