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74 "Jaunuzņēmumu atbalsta programmu pieteikšanas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projektā ieviesta </w:t>
            </w:r>
            <w:r w:rsidR="00000000" w:rsidRPr="00000000" w:rsidDel="00000000">
              <w:rPr>
                <w:i w:val="1"/>
                <w:rtl w:val="0"/>
              </w:rPr>
              <w:t xml:space="preserve">Komisijas 2023. gada 13. decembra Regula (ES) Nr. 2023/2831 par Līguma par Eiropas Savienības darbību 107. un 108. panta piemērošanu de minimis atbalstam</w:t>
            </w:r>
            <w:r w:rsidR="00000000" w:rsidRPr="00000000" w:rsidDel="00000000">
              <w:rPr>
                <w:rtl w:val="0"/>
              </w:rPr>
              <w:t xml:space="preserve"> lūdzam aizpildīt anotācijas 5.4.1. tabulu, norādot katras projekta normas, kurā ieviesta regula, atbilstību attiecīgai regulas normai.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Vīgante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03.06.2024.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03.06.2024.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