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salāgot anotācijā norādīto likumprojekta spēkā stāšanās termiņu ar pašā likumprojektā norādīto.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Dreiškena-Lāce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konkretizēt institūcijas, kas iesaistītas likumprojekta izpildē.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Dreiškena-Lāce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8.1.6. uz vidi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sniegt izvērstāku skaidrojumu par likumprojekta ietekmi uz vidi, proti, kādā veidā tiks radīta pozitīva ietekme uz atjaunojamās elektroenerģijas (vēja enerģijas) jomas attīstību (norādīts anotācijas 8.1.6.punktā).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Dreiškena-Lāce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26.10.2022.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26.10.2022.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