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27.pantu (kurā precizēta esošā likuma 51.panta otrās daļa) redakciju konkrēti nosakot, ka sabiedrības kopējās veselības vārdā un vides aizsardzības mērķu sasniegšanai pašvaldība var arī ierobežot ēku un būvju īpašniekus attiecībā uz siltumenerģijas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VSS 2021.gada decembrī izsludinātajā likumprojektā “Gaisa aizsardzības likums” (21-TA-1420) ir paredzēts, ka pašvaldībai, lai nodrošinātu atbilstošu gaisa kvalitāti tās teritorijā ir iespējams ierobežot tādu kurināmā veidu un apkures iekārtu izmantošanu, kas pasliktina kopējo gaisa kvalitāti un rada problēmas ievērot normatīvajos aktos noteiktos gaisa kvalitātes normatīvus. Vēršam uzmanību, ka šī norma pēc būtības ir saskaņota 2022.gada septembrī notikušās starpministriju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šo redakciju precizēt, lai izvairītos no pretrunīgu normu iekļaušanas dažādu jomu likumprojektos.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esošā likuma 51.panta otro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nodrošinot siltumapgādi administratīvās teritorijas ietvaros,  ievēro vides un kultūras pieminekļu aizsardzības noteikumus, piedalās nacionālo un starptautisko vides un klimata mērķu sasniegšanā, kā arī, plānojot piegādājamo siltumenerģijas apjomu un nepieciešamo siltumenerģijas ražošanas jaudu, izvērtē vietējo energoresursu, koģenerācijas un triģenerācijas izmantošanas iespējas un siltumapgādes drošību, nepārtrauktību un ilgtspēju.</w:t>
            </w:r>
            <w:r w:rsidR="00000000" w:rsidRPr="00000000" w:rsidDel="00000000">
              <w:rPr>
                <w:b w:val="1"/>
                <w:rtl w:val="0"/>
              </w:rPr>
              <w:t xml:space="preserve"> Vienlaikus pašvaldības atbilstoši vides aizsardzības normatīvajiem aktiem var noteikt papildus prasības attiecībā uz gaisa piesārņojuma ierobežošanu no siltumapgādes ražošanas.”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pants dublē Energoefekticitātes likuma 15. panta pirmajā daļā iekļauto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tiesību akta anotācijā skaidrot šāda regulējuma nepieciešamību, ņemot vērā Energoefekticitātes likuma 15.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normatīvo aktu līmenī regulējami visi tiesiskie jautājumi, kas minēti Valsts informācijas sistēmu likuma 5.panta pirmajā prim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14. septembra sēdes protokola Nr.61, 46. § 4.punktā noteiktajam un tam, ka Enerģētikas likums ir vispiemērotākais normatīvais akts enerģētiskās kūdras izmantošanas pārtraukšanas normas iekļaušanai, lūdzam likumprojektu papildināt ar jaunu prasību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“autonomie ražotāji un energoapgādes komersanti enerģijas ražošanā neizmanto kūdras kurināmo.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stājas spēkā 2029.gada 31.decembrī.”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(iebildums/priekšlikums atbilstoši Vides aizsardzības un reģionālās attīstības ministrijas 01.09.2021. atzinuma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3.pantā (par likuma 1.panta 12 punktu) salāgot atjaunojamo energoresursu definīciju ar Transporta enerģijas likumprojekta (21-TA-742) 1.panta 5.punkta definīciju, kur noteikts viennozīmīgāk, ka atjaunojamie energoresursi ir tikai no atjaunojamiem energoresursiem ķīmiskās sintēzes procesā iegūta 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https://tapportals.mk.gov.lv/legal_acts/b518c937-a744-4036-92b6-4e6995d3bd48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izteikta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3.pantā minētās definīcijas (likuma 1.panta 61. un 62. punkts) ietvert likumprojekta prasībās, tai skaitā izvērtēt iespēju likumprojektā ietvert normu pašvaldībām saprātīgā termiņā plānot siltumapgādi un aukstumapgādi, ievērojot efektīvas siltumapgādes un aukstumapgādes noteiktos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(iebildums/priekšlikums atbilstoši Vides aizsardzības un reģionālās attīstības ministrijas 01.09.2021. atzinuma 6.punktam).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Iesniegtais Likumprojekts satur precizējumus </w:t>
            </w:r>
            <w:r w:rsidR="00000000" w:rsidRPr="00000000" w:rsidDel="00000000">
              <w:rPr>
                <w:i w:val="1"/>
                <w:rtl w:val="0"/>
              </w:rPr>
              <w:t xml:space="preserve">Track Changes</w:t>
            </w:r>
            <w:r w:rsidR="00000000" w:rsidRPr="00000000" w:rsidDel="00000000">
              <w:rPr>
                <w:rtl w:val="0"/>
              </w:rPr>
              <w:t xml:space="preserve"> režīmā, ko lūdzam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Reinerte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w:t>
            </w:r>
            <w:r w:rsidR="00000000" w:rsidRPr="00000000" w:rsidDel="00000000">
              <w:rPr>
                <w:vertAlign w:val="superscript"/>
                <w:rtl w:val="0"/>
              </w:rPr>
              <w:t xml:space="preserve">2</w:t>
            </w:r>
            <w:r w:rsidR="00000000" w:rsidRPr="00000000" w:rsidDel="00000000">
              <w:rPr>
                <w:rtl w:val="0"/>
              </w:rPr>
              <w:t xml:space="preserve"> punktā noteiktā termina "atjaunojamie energoresursi" skaidrojuma daļā iekļauto daļu "arī atkritumu biomasas frakcija" aizstāt ar "arī biomasa, kas iegūta no bioloģiski noārdāmiem atkritumiem".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Reinerte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28.11.2022. 18.58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28.11.2022. 18.58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