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1.3. apakšsadaļu, sniedzot precīzus noteikumu projekta skaidrojumus. Vēršam uzmanību, ka, piemēram, tiek norādīts "</w:t>
            </w:r>
            <w:r w:rsidR="00000000" w:rsidRPr="00000000" w:rsidDel="00000000">
              <w:rPr>
                <w:i w:val="1"/>
                <w:rtl w:val="0"/>
              </w:rPr>
              <w:t xml:space="preserve">nepieciešams paplašināt noteikumu Nr. 50 43. punktā dotās iespējas</w:t>
            </w:r>
            <w:r w:rsidR="00000000" w:rsidRPr="00000000" w:rsidDel="00000000">
              <w:rPr>
                <w:rtl w:val="0"/>
              </w:rPr>
              <w:t xml:space="preserve">" vai "</w:t>
            </w:r>
            <w:r w:rsidR="00000000" w:rsidRPr="00000000" w:rsidDel="00000000">
              <w:rPr>
                <w:i w:val="1"/>
                <w:rtl w:val="0"/>
              </w:rPr>
              <w:t xml:space="preserve">tāpēc ir jāgroza noteikumu Nr. 50 217. punkts</w:t>
            </w:r>
            <w:r w:rsidR="00000000" w:rsidRPr="00000000" w:rsidDel="00000000">
              <w:rPr>
                <w:rtl w:val="0"/>
              </w:rPr>
              <w:t xml:space="preserve">", taču noteikumu projekts neparedz šādus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projekts tiešām nekādā veidā neietekmē nevienu sabiedrības grupu, ņemot vēra, ka no noteikumu projekta izriet grozījumi, piemēram, attiecībā uz atbalsta saņēmēju maksājumu kontiem.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5.sadaļu, ņemot vērā, ka atbilstoši Ministru kabineta 2023. gada 31. janvāra noteikumu Nr. 50 "Kārtība, kādā administrē un uzrauga Eiropas Lauksaimniecības garantiju fondu un Eiropas Lauksaimniecības fondu lauku attīstībai, kā arī valsts un Eiropas Savienības atbalstu lauksaimniecībai un lauku attīstībai 2023.–2027. gada plānošanas periodā" (turpmāk - noteikumi Nr.50) un grozījumu anotācijām un noteikumu Nr.50 redakcijai tā 20. punkts ievieš Eiropas Parlamenta un Padomes 2021. gada 2. decembra Regulas (ES)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 89. pantu, 94. pantu un 125. panta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pārskatīt noteikumu projektu un izvērtēt, vai uz to attiecināmās, anotācijā nenorādītās (iepriekš ieviestās), Eiropas Savienības tiesību normas joprojām ir attiecināmas. Šādā gadījumā, iesakām papildināt anotācijas 5. sadaļu ar norādēm uz Eiropas Savienības tiesību normām vai norādīt, ka līdz šim ieviestās, no Eiropas Savienības tiesību normām  izrietošās prasības netiek mainītas un ietekmētas.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 noteikumu projekta 1. punktā svītroto noteikumu Nr.50 7.5. apakšpunktu iepriekš ieviests Eiropas Parlamenta un Padomes 2021. gada 2. decembra Regulas (ES) 2021/2116 par kopējās lauksaimniecības politikas finansēšanu, pārvaldību un uzraudzību un ar ko atceļ Regulu (ES) Nr. 1306/2013 72. punkts. Ņemot vērā, ka konkrētā regula joprojām ir spēkā esoša, lūdzam izvērtēt, vai iepriekš ieviesto tiesību normu vairs nav nepieciešams ieviests un skaidrot to anotācijā, līdzīgi kā grozījumu noteikumu Nr.50 20. 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07.02.2025. 15.29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07.02.2025. 15.29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Atzinumi_24-TA-2911.docx</dc:title>
</cp:coreProperties>
</file>

<file path=docProps/custom.xml><?xml version="1.0" encoding="utf-8"?>
<Properties xmlns="http://schemas.openxmlformats.org/officeDocument/2006/custom-properties" xmlns:vt="http://schemas.openxmlformats.org/officeDocument/2006/docPropsVTypes"/>
</file>