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Ilmeņa iela 6A un 6B,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(P3_MK_rik_pamatojosie_dok_Ilmena_6A un 6B)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Ilmeņa iela 6A un 6B, Rīgā, nodošanu Rīgas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anotācija un pievienotie dokumenti nav sagatavoti atbilstoši spēkā esošajiem normatīvajiem aktiem un iedibinātajai šādu rīkojumu veidu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ir tiesiskais pamats rīkojuma projekta izdošanai. Piemēram, ja piemēro Publiskas personas mantas atsavināšanas likuma 42.</w:t>
            </w:r>
            <w:r w:rsidR="00000000" w:rsidRPr="00000000" w:rsidDel="00000000">
              <w:rPr>
                <w:vertAlign w:val="superscript"/>
                <w:rtl w:val="0"/>
              </w:rPr>
              <w:t xml:space="preserve">1</w:t>
            </w:r>
            <w:r w:rsidR="00000000" w:rsidRPr="00000000" w:rsidDel="00000000">
              <w:rPr>
                <w:rtl w:val="0"/>
              </w:rPr>
              <w:t xml:space="preserve">pants, tad ir jāievēro arī šādu rīkojumu prakse un jānorāda uz kādas ministrijas personā nekustamo īpašumu ieraksta. Tāpat, ja piemēro Publiskas personas mantas atsavināšanas likumu, tad jānoskaidro ir pašvaldības viedoklis. Ja pamats ir Meža likums, tad rīkojuma projekts ir jāsagatavo atbilstoši attiecīgiem ministru kabineta noteikumiem, pievienojot arī visus nepieciešamos paskaidrojošos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detalizēti iziet cauri projektam un to sagatavot kvalitatīvi atbilstoši iedibinātajai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rīkojumu, papildināt anotāciju un pievienot visus nepieciešamos dokumentus atbilstoši Meža likuma 44.panta ceturtajai daļai (skaidri norādot arī apakšpunktu), Ministru kabineta 2006.gada 19.septembra noteikumiem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zemes atsavināšanas kārtība” un Publiskas personas mantas atsavināšanas likumam, lai rīkojuma projekts un anotācija ir savstarpēji skaidra, precīza un nemaldinoša.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anotācija un pievienotie dokumenti nav sagatavoti atbilstoši spēkā esošajiem normatīvajiem aktiem un iedibinātajai šādu rīkojumu veidu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ir tiesiskais pamats rīkojuma projekta izdošanai. Piemēram, ja piemēro Publiskas personas mantas atsavināšanas likuma 42.</w:t>
            </w:r>
            <w:r w:rsidR="00000000" w:rsidRPr="00000000" w:rsidDel="00000000">
              <w:rPr>
                <w:vertAlign w:val="superscript"/>
                <w:rtl w:val="0"/>
              </w:rPr>
              <w:t xml:space="preserve">1</w:t>
            </w:r>
            <w:r w:rsidR="00000000" w:rsidRPr="00000000" w:rsidDel="00000000">
              <w:rPr>
                <w:rtl w:val="0"/>
              </w:rPr>
              <w:t xml:space="preserve">pants, tad ir jāievēro arī šādu rīkojumu prakse un jānorāda uz kādas ministrijas personā nekustamo īpašumu ieraksta. Tāpat, ja piemēro Publiskas personas mantas atsavināšanas likumu, tad jānoskaidro ir pašvaldības viedoklis. Ja pamats ir Meža likums, tad rīkojuma projekts ir jāsagatavo atbilstoši attiecīgiem ministru kabineta noteikumiem, pievienojot arī visus nepieciešamos paskaidrojošos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detalizēti iziet cauri projektam un to sagatavot kvalitatīvi atbilstoši iedibinātajai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rīkojumu, papildināt anotāciju un pievienot visus nepieciešamos dokumentus atbilstoši Meža likuma 44.panta ceturtajai daļai (skaidri norādot arī apakšpunktu), Ministru kabineta 2006.gada 19.septembra noteikumiem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zemes atsavināšanas kārtība” un Publiskas personas mantas atsavināšanas likumam, lai rīkojuma projekts un anotācija ir savstarpēji skaidra, precīza un nemaldinoša.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26.04.2023.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26.04.2023.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Atzinumi_23-TA-551.docx</dc:title>
</cp:coreProperties>
</file>

<file path=docProps/custom.xml><?xml version="1.0" encoding="utf-8"?>
<Properties xmlns="http://schemas.openxmlformats.org/officeDocument/2006/custom-properties" xmlns:vt="http://schemas.openxmlformats.org/officeDocument/2006/docPropsVTypes"/>
</file>