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24-TA-2422: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aprīļa instrukcijā Nr. 2 "Instrukcija par valsts budžeta izpildes analīzi"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Informāciju par valsts budžeta izpildes analīzi par sešiem un deviņiem mēnešiem ministrijas iesniedz līdz pārskata periodam sekojošā mēneša trīsdesmitajam datumam.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seminārā par e-pārskatu ieviešanu attiecībā uz budžeta izpildes analīzi (uz kuru ir atsauce arī anotācijā) tika sniegta informācija, ka sākotnēji informāciju par valsts budžeta izpildes analīzi aizpildīs ministriju padotības iestādes un šie pārskati tiks apstiprināti un parakstīti iestādes līmenī un savukārt ministrijas veiks datu apkopošanu ministrijas līmenī, attiecīgi apkopojot un nepieciešamības gadījumā precizējot iestāžu pārskatos sniegto informāciju. Vēršam uzmanību, ka šobrīd piedāvātie grozījumi neparedz normatīvo regulējumu atbilstoši tam mehānismam, kas tika skaidrots seminārā.  Līdz ar to,  ja tomēr tiek ieviests mehānisms par kādu tika stāstīts seminārā, lūdzam papildināt grozījumus ar attiecīgu normatīvo regulējumu un skadirojumu anotācijā par tā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Sagatavoto informāciju par valsts budžeta izpildes analīzi paraksta atbildīgais finanšu darbinieks un iestādes vadītājs vai viņa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punkts tiek papildināts ar  prasību parakstīt informāciju par valsts budžeta izpildes analīzi arī atbildīgajam finanšu darbiniekam, taču anotācijā nav sniegts pamatojums šādu izmaiņu nepieciešamībai,  kā arī nav sniegts skaidrojums  kāda veida paraksts tas ir., kā arī nav analizēts kā tas ietekmēs iestādes administratīvo slogu.  Ņemot vērā, ka praktiski iestādes informāciju par valsts budžeta izpildes analīzi var sagatavot vairāki ministrijas vai iestādes darbinieki, nav skaidrs kas un kā tad parakstītu šo informāciju kā atbildīgais finanšu darbinieks. Ņemot vērā minēto, rosinām nepalielināt iestāžu administratīvo slogu un nepapildināt pārskata parakstītāju skaitu. Ja nepieciešams apliecinājums tam, ka informāciju par valsts budžeta izpildes analīzi ir saskaņojis  atbildīgais finanšu darbinieks, ierosinām paredzēt, ka minētais darbinieks to apstiprina e-pārskatu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par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7.2.apakšpunkta ievaddaļu ar norādi, ka 7.2.punktā norādītie pārskati  tiek iesniegti papildus 7.1. punktā norādītajiem pārskatiem.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05.03.2025.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05.03.2025.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Atzinumi_24-TA-2422.docx</dc:title>
</cp:coreProperties>
</file>

<file path=docProps/custom.xml><?xml version="1.0" encoding="utf-8"?>
<Properties xmlns="http://schemas.openxmlformats.org/officeDocument/2006/custom-properties" xmlns:vt="http://schemas.openxmlformats.org/officeDocument/2006/docPropsVTypes"/>
</file>