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dizaina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projekta 26.1.6. apakšpunktā ir ietverta atsauce uz vadlīnijām, kas nav normatīvi saistoši tiesību akti. Atbilstoši juridiskās tehnikas prasībām un Ministru kabineta 2009. gada 3. februāra noteikumu Nr. 108 “Normatīvo aktu projektu sagatavošanas noteikumi” 3.7. apakšpunktam, normatīvā akta tiesību normās nav pieļaujams iekļaut atsauces uz nesaistošiem dokumentiem (piemēram, metodikām, vadlīnijām, ieteikumiem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paskaidrojums, ka vadlīniju nosacījumi jānorāda noteikumos tādēļ, ka tie izriet no saistībām, nav pietiekams pamatojums, lai pārkāptu juridiskos pamatprincipus: ja noteiktas prasības ir izpildāmas, tām jābūt tieši formulētām ārējo tiesību akta normās, nevis atsauču veidā uz nesaistošu dokumentu -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praksē līdzīgas atsauces uz vadlīnijām šobrīd tiek konsekventi svītrotas arī citos ES fondu tiesību aktu projektos, nodrošinot normatīvā regulējuma juridisko skaidrību un tiesību normu saistošu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noteikumu projekta 26.1.6. apakšpunktā svītrot atsauci uz vadlīnijām un attiecīgo informāciju, ja nepieciešams,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pasākumus, saskaņā ar regulas  Nr. 2021/1060 47. pantu un 50. panta 1. un 2. punkta  kārtību, kādā Eiropas Savienības fondu vadībā iesaistītās institūcijas nodrošina šo fondu ieviešanu 2021.–2027. gada plānošanas periodā. Uzraudzīt, vai gala saņēmējs ievēro minētās prasības, un, ja tiek konstatēta komunikācijas un dizaina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nodrošināt informācijas pieejamību 10 gadus, skaitot no dienas, kad gala saņēmējiem ir piešķirts individuālais atbalsts un atbalsts saskaņā ar shēmu, uzturot detalizētus ierakstus, kuros ir informācija un atbilstošie dokumenti, lai pārliecinātos, ka visi šo noteikumu un attiecīgās atbalsta programmas nosacījumi ir izpildīti atbilstoši Eiropas Komisijas 2022. gada 18. novembra Lēmumam Nr. SA.100013 (2022/N) –</w:t>
            </w:r>
            <w:r w:rsidR="00000000" w:rsidRPr="00000000" w:rsidDel="00000000">
              <w:rPr>
                <w:i w:val="1"/>
                <w:rtl w:val="0"/>
              </w:rPr>
              <w:t xml:space="preserve"> Latvia </w:t>
            </w:r>
            <w:r w:rsidR="00000000" w:rsidRPr="00000000" w:rsidDel="00000000">
              <w:rPr>
                <w:rtl w:val="0"/>
              </w:rPr>
              <w:t xml:space="preserve">"</w:t>
            </w:r>
            <w:r w:rsidR="00000000" w:rsidRPr="00000000" w:rsidDel="00000000">
              <w:rPr>
                <w:i w:val="1"/>
                <w:rtl w:val="0"/>
              </w:rPr>
              <w:t xml:space="preserve">Funding and remit of Altum until 2029</w:t>
            </w:r>
            <w:r w:rsidR="00000000" w:rsidRPr="00000000" w:rsidDel="00000000">
              <w:rPr>
                <w:rtl w:val="0"/>
              </w:rPr>
              <w:t xml:space="preserve">" (turpmāk – EK lēmums par sabiedrības "Altum" darbību) un atbilstoši regulas Nr. 2021/1060 82.panta 1.punktam.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iepriekš izteikto iebildumu, atkārtoti norādām, ka noteikumu projekta 26.1.7. apakšpunktā ietverta atsauce uz Eiropas Komisijas 2022. gada 18. novembra Lēmumu Nr. SA.100013 (2022/N) – Latvia "Funding and remit of Altum until 2029" (turpmāk – EK lēmums), nosakot pienākumu ievērot šī lēmuma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(turpmāk – Līgums) 288. pantu lēmumi ir saistoši tikai to adresātiem. Ja lēmuma adresāts ir dalībvalsts, tajā ietvertās normas nav tieši piemērojamas privātpersonām. Lai šie noteikumi kļūtu saistoši gala saņēmējiem, tie ir jātransponē nacionālajā tiesību sistēmā līdzīgi kā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atsauce uz EK lēmumu kā saistošu gala saņēmējiem neatbilst Līguma 288. panta regulējumam. Neskatoties uz Ekonomikas ministrijas norādīto, ka norma saskaņota iepriekšējās redakcijās un būtiska Altum darbības uzraudzībai, šāda argumentācija nav pietiekama, lai pamatotu neatbilstību juridiskajām tehnikas un Līguma normu piemērojamības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EK lēmumu noteikumu projekta 26.1.7. apakšpunktā un, ja nepieciešams, iekļaut attiecīgo pienākumu kā skaidri formulētu tiesību normu nacionālajā regulējumā, tādējādi nodrošinot skaidru un juridiski korektu piemērojamību.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25.06.2025.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25.06.2025.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Atzinumi_25-TA-489.docx</dc:title>
</cp:coreProperties>
</file>

<file path=docProps/custom.xml><?xml version="1.0" encoding="utf-8"?>
<Properties xmlns="http://schemas.openxmlformats.org/officeDocument/2006/custom-properties" xmlns:vt="http://schemas.openxmlformats.org/officeDocument/2006/docPropsVTypes"/>
</file>