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Satversmes tiesas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w:t>
            </w:r>
            <w:r w:rsidR="00000000" w:rsidRPr="00000000" w:rsidDel="00000000">
              <w:rPr>
                <w:vertAlign w:val="superscript"/>
                <w:rtl w:val="0"/>
              </w:rPr>
              <w:t xml:space="preserve">1</w:t>
            </w:r>
            <w:r w:rsidR="00000000" w:rsidRPr="00000000" w:rsidDel="00000000">
              <w:rPr>
                <w:rtl w:val="0"/>
              </w:rPr>
              <w:t xml:space="preserve">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par Satversmes tiesas tiesnesi apstiprināta persona, kas saskaņā ar Prokuratūras likumu bija iecelta prokurora amatā, tai pēc Satversmes tiesas tiesneša pilnvaru termiņa izbeigšanās prokuratūra nodrošina tiesības atgriezties prokurora amatā, ja tā nav sasniegusi amata pildīšanai noteikto maksimālo vecumu. Šādai personai ir tiesības uz prokurora izdienas pensiju, ja tās izdienas stāžs saskaņā ar Prokuroru izdienas pensiju likumu nav mazāks par 20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7.</w:t>
            </w:r>
            <w:r w:rsidR="00000000" w:rsidRPr="00000000" w:rsidDel="00000000">
              <w:rPr>
                <w:vertAlign w:val="superscript"/>
                <w:rtl w:val="0"/>
              </w:rPr>
              <w:t xml:space="preserve">1</w:t>
            </w:r>
            <w:r w:rsidR="00000000" w:rsidRPr="00000000" w:rsidDel="00000000">
              <w:rPr>
                <w:rtl w:val="0"/>
              </w:rPr>
              <w:t xml:space="preserve"> panta 4.</w:t>
            </w:r>
            <w:r w:rsidR="00000000" w:rsidRPr="00000000" w:rsidDel="00000000">
              <w:rPr>
                <w:vertAlign w:val="superscript"/>
                <w:rtl w:val="0"/>
              </w:rPr>
              <w:t xml:space="preserve">1</w:t>
            </w:r>
            <w:r w:rsidR="00000000" w:rsidRPr="00000000" w:rsidDel="00000000">
              <w:rPr>
                <w:rtl w:val="0"/>
              </w:rPr>
              <w:t xml:space="preserve"> daļā svītrot vārdus “Šādai personai ir tiesības uz prokurora izdienas pensiju, ja tās izdienas stāžs saskaņā ar Prokuroru izdienas pensiju likumu nav mazāks par 20 gadiem.” Vēršam Jūsu uzmanību uz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prokuroriem tiek piešķirta, aprēķināta un izmaksāta izdienas pensija, reglamentē Prokuroru izdienas pensiju likums, līdz ar to jauns pamats prokurora izdienas pensijas piešķiršanai būtu nostiprināms minētā normatīvā akta ietvaros, kopsakarā ar citiem specifiskiem izdienas pensijas piešķiršanas, aprēķināšanas un izmaksas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piedāvātajiem grozījumiem Satversmes tiesas likumā, kas paredz atcelt Prokuroru izdienas pensiju likuma 2.pantā pirmās daļas 1.punkta kritēriju, kurš paredz tiesības uz izdienas pensiju, ja, cita starpā, pēdējie desmit gadi nostrādāti prokurora amatā, faktiski tiek radīta nevienlīdzīga attieksme pret prokuroriem, kuri uz laiku ir mainījuši amatu uz, piemēram, tiesneša amatu, kas nav Satversmes tiesas tiesnesis,  vai amatu Iekšlietu ministrijas iestādē, un pēcāk atgriežas prokurora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Prokuroru izdienas pensiju likuma 5.pants paredz, ka izdienas pensiju aprēķina no prokurora vidējās mēneša darba samaksas par pēdējiem pieciem gadiem pirms atbrīvošanas no prokurora amata, attiecīgi piedāvātie grozījumi nesniedz skaidrību, no kuras mēneša darba samaksas būtu paredzēts aprēķināt izdienas pensiju, ņemot vērā, ka no piedāvātajiem grozījumiem izriet, ka persona pēc Satversmes tiesas tiesneša amata pilnvaru beigām varētu atgriezties prokurora amatā un tūlītēji pretendēt uz izdienas pensiju, nenostrādājot piecus gadus prokurora amatā. Varētu pieņemt, ka šajā gadījumā prokurora izdienas pensija tiktu rēķināta no Satversmes  tiesas tiesneša amatā saņemtās vidējās mēneša darba samaksas, bet tādā gadījumā tiktu radīta būtiski nevienlīdzīga attieksme pret citiem tiesnešiem, jo faktiski persona varētu doties izdienas pensijā ar tiesnešu izdienas pensiju sistēmai pielīdzināmiem labvēlīgiem nosacījumiem, bet, nesasniedzot valsts vecuma pensijas piešķiršanai noteikto vecumu, kā to paredz Tiesnešu izdienas pensiju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Ja par Satversmes tiesas tiesnesi apstiprināta persona, kas saskaņā ar Prokuratūras likumu bija iecelta prokurora amatā, tai pēc Satversmes tiesas tiesneša pilnvaru termiņa izbeigšanās prokuratūra nodrošina tiesības atgriezties prokurora amatā, ja tā nav sasniegusi amata pildīšanai noteikto maksimālo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pants. Satversmes tiesas tiesneša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tiesneša kā konstitucionāla orgāna amatpersonas statusu veido tiesību normās ietvertās viņa amata pilnvaru realizēšanas, viņa neatkarības, objektivitātes, cieņas, kā arī sociālās un citas garantijas."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3.1. apakšpunktu normatīvā akta projektā neietver normas, kas ir deklaratīvas. Ievērojot minēto, lūdzam anotācijā skaidrot šīs normas nepieciešamību vai izslēgt minēto normu no likumprojekta.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4. panta ceturtajā daļā vārdu "laikrakstā" ar vārdiem "oficiālajā izdevumā".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sagatavoto likumprojektu, konstatējams, ka tajā nav ietverti grozījumi Satversmes tiesas likuma 33. panta pirmajā daļā, kurā arī pieminēti vārdi laikraksts "Latvijas Vēstnesis". Atbilstoši Normatīvo aktu izstrādes rokasgrāmatā norādītajam, "lai samazinātu grozījumu apjomu un nesarežģītu grozījumu likumu, vārdu (vārdus, skaitli, skaitļus), kas atkārtojas visā likumā, var aizstāt visā likuma tekstā ar vienu grozījuma pantu, ko raksta kā pirmo grozījumu likuma pantu" (pieejams: https://tai.mk.gov.lv/book/1/chapter/105). Ievērojot minēto, aicinām izteikt grozījumus par šo vārdu aizstāšanu kā vienu pantu, lai visā likumā vārdu "laikraksts" aizstātu ar vārdiem "oficiālais izdevums"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 grozījumu noformēšanas veidu aicinām izmantot arī attiecībā uz citu vārdu aizstāšanu Satversmes tiesas likumā, ja tas iespējams, piemēram, aizstājot vārdu "noraksts" ar vārdu "atvasinājums"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19.</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pieteikums";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vispārējās jurisdikcijas tiesa, izskatot lietu, uzskata, ka norma, kas būtu jāpiemēro šajā lietā, neatbilst augstāka juridiska spēka tiesību normai (aktam);";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tiesa, izskatot administratīvo lietu, uzskata, ka norma, ko iestāde ir piemērojusi vai kas administratīvajā tiesas procesā būtu jāpiemēro šajā lietā, neatbilst Satversmei vai starptautisko tiesību normai (aktam);"";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Tiesas lēmumam pievieno dokumentus, kas pamato pieteikumu. Ja nepieciešams, pievieno arī attiecīgo lietu.";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Vairāku aktu apstrīdēšana tiesas lēmumā pieļaujama gadījumos, kad visus šos aktus nepieciešams piemērot.".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tiek grozītas visas 19.</w:t>
            </w:r>
            <w:r w:rsidR="00000000" w:rsidRPr="00000000" w:rsidDel="00000000">
              <w:rPr>
                <w:vertAlign w:val="superscript"/>
                <w:rtl w:val="0"/>
              </w:rPr>
              <w:t xml:space="preserve">1</w:t>
            </w:r>
            <w:r w:rsidR="00000000" w:rsidRPr="00000000" w:rsidDel="00000000">
              <w:rPr>
                <w:rtl w:val="0"/>
              </w:rPr>
              <w:t xml:space="preserve"> panta daļas, tostarp 19.</w:t>
            </w:r>
            <w:r w:rsidR="00000000" w:rsidRPr="00000000" w:rsidDel="00000000">
              <w:rPr>
                <w:vertAlign w:val="superscript"/>
                <w:rtl w:val="0"/>
              </w:rPr>
              <w:t xml:space="preserve">1</w:t>
            </w:r>
            <w:r w:rsidR="00000000" w:rsidRPr="00000000" w:rsidDel="00000000">
              <w:rPr>
                <w:rtl w:val="0"/>
              </w:rPr>
              <w:t xml:space="preserve"> panta pirmajā daļā tiek veikti vairāki grozījumi, lūdzam visu pantu izteikt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25. 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skaidrojumu par šo grozījumu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1 </w:t>
            </w:r>
            <w:r w:rsidR="00000000" w:rsidRPr="00000000" w:rsidDel="00000000">
              <w:rPr>
                <w:rtl w:val="0"/>
              </w:rPr>
              <w:t xml:space="preserve">Satversmes tiesa rīcības sēdē var nolemt pirms tiesas sēdes sasaukt sagatavošanas sēdi, lai izlemtu ar tiesas sēdes norisi saistītus jautājumus. Sagatavošanas sēdi vada tiesas priekšsēdētājs vai viņa norīkots tiesnesis.";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vārdu "personību" ar vārdu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ieradusies pieaicinātā persona, liecinieks, eksperts vai tulks, tiesas sēdes priekšsēdētājs noskaidro klātesošo lietas dalībnieku viedokļus par to, vai var uzsākt lietas izskatīšanu bez šīs pieaicinātās personas, liecinieka, eksperta vai tulka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Pēc tam, ja nepieciešams, tiek uzklausītas pieaicinātās personas, eksperti un pratināti liecinieki.";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astoto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to ilgumu lemj Satversmes tiesa, uzklausot klātesošo lietas dalībnieku viedokļus.";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desmitās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sēdes norisi ieraksta ar tehniskiem līdzekļiem un, izmantojot veikto ierakstu, sagatavo Satversmes tiesas sēdes stenogrammu.".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78. punktam, kas paredz, ka prim apzīmējumu raksta arābu cipariem aiz likuma vienības numura augšējā reģistrā. Proti, minētais punkts neparedz, ka, papildinot ar prim vienību, likuma vienības numurs būtu jāliek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w:t>
            </w:r>
            <w:r w:rsidR="00000000" w:rsidRPr="00000000" w:rsidDel="00000000">
              <w:rPr>
                <w:u w:val="single"/>
                <w:rtl w:val="0"/>
              </w:rPr>
              <w:t xml:space="preserve">1.</w:t>
            </w:r>
            <w:r w:rsidR="00000000" w:rsidRPr="00000000" w:rsidDel="00000000">
              <w:rPr>
                <w:u w:val="single"/>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pirmajā daļā vārdus "līdz sprieduma pasludināšanai";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Tiesa lēmumu par tiesvedības izbeigšanu pieņem ar balsu vairākumu. Balsīm sadaloties līdzīgi, tiesvedība lietā turpināma.";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 "laikrakstā" ar vārdiem "oficiālajā izdevumā";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Tiesnesis, kurš balsojis pret viedokli, kas izteikts lēmumā par tiesvedības izbeigšanu, mēneša laikā rakstveidā var izteikt savas atsevišķās domas, kuras pievieno lietai, bet tiesas sēdē tās nepaziņo.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Atsevišķās domas par lēmumu par tiesvedības izbeigšanu publicē tādā pašā kārtībā kā spriedumam pievienotās atsevišķās domas.".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78. punktam, kas paredz, ka prim apzīmējumu raksta arābu cipariem aiz likuma vienības numura augšējā reģistrā. Proti, minētais punkts neparedz, ka, papildinot ar prim vienību, likuma vienības numurs būtu jāliek iekavās.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w:t>
            </w:r>
            <w:r w:rsidR="00000000" w:rsidRPr="00000000" w:rsidDel="00000000">
              <w:rPr>
                <w:u w:val="single"/>
                <w:rtl w:val="0"/>
              </w:rPr>
              <w:t xml:space="preserve">1.</w:t>
            </w:r>
            <w:r w:rsidR="00000000" w:rsidRPr="00000000" w:rsidDel="00000000">
              <w:rPr>
                <w:u w:val="single"/>
                <w:vertAlign w:val="superscript"/>
                <w:rtl w:val="0"/>
              </w:rPr>
              <w:t xml:space="preserve">1</w:t>
            </w:r>
            <w:r w:rsidR="00000000" w:rsidRPr="00000000" w:rsidDel="00000000">
              <w:rPr>
                <w:u w:val="single"/>
                <w:rtl w:val="0"/>
              </w:rPr>
              <w:t xml:space="preserve"> daļu</w:t>
            </w:r>
            <w:r w:rsidR="00000000" w:rsidRPr="00000000" w:rsidDel="00000000">
              <w:rPr>
                <w:rtl w:val="0"/>
              </w:rPr>
              <w:t xml:space="preserve">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jaunu otro un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tiesas sēdes vadītāja atļauju apspriedē var piedalīties tiesas darbinieki un darbā Satversmes tiesā norīkoti citas tiesas tiesneši. Viņi ievēro apspriedes noslēpumu.";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otro teikumu par ceturto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pirmo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tiesnešu apspriedes laikā tiesa atzīst par nepieciešamu noskaidrot lietā nozīmīgus apstākļus, tā atsāk lietas izskatīšanu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jaunu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sprieduma sagatavošanai ir nepieciešams ilgāks termiņš, Satversmes tiesa termiņu var pagarināt par 30 dienām un par to paziņo lietas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otro teikumu par trešo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pēc vārda "spriedumā" ar vārdiem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"izsaka" ar vārdiem "var izteikt".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atbilstoši Ministru kabineta 2009. gada 3. februāra noteikumu Nr. 108 "Normatīvo aktu projektu sagatavošanas noteikumi" 78. punktam, kas paredz, ka prim apzīmējumu raksta arābu cipariem aiz likuma vienības numura augšējā reģistrā.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w:t>
            </w:r>
            <w:r w:rsidR="00000000" w:rsidRPr="00000000" w:rsidDel="00000000">
              <w:rPr>
                <w:u w:val="single"/>
                <w:rtl w:val="0"/>
              </w:rPr>
              <w:t xml:space="preserve">1.</w:t>
            </w:r>
            <w:r w:rsidR="00000000" w:rsidRPr="00000000" w:rsidDel="00000000">
              <w:rPr>
                <w:u w:val="single"/>
                <w:vertAlign w:val="superscript"/>
                <w:rtl w:val="0"/>
              </w:rPr>
              <w:t xml:space="preserve">1</w:t>
            </w:r>
            <w:r w:rsidR="00000000" w:rsidRPr="00000000" w:rsidDel="00000000">
              <w:rPr>
                <w:u w:val="single"/>
                <w:rtl w:val="0"/>
              </w:rPr>
              <w:t xml:space="preserve"> daļu</w:t>
            </w:r>
            <w:r w:rsidR="00000000" w:rsidRPr="00000000" w:rsidDel="00000000">
              <w:rPr>
                <w:rtl w:val="0"/>
              </w:rPr>
              <w:t xml:space="preserve">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arī ar citām grupām, kuras minētie grozījumi ietekmēs, kā piemēram, pieteikumu iesniedzēji Satversmes tiesā, ņemot vērā, ka grozījumi paredz izmaiņas arī attiecībā uz lietu izskatīšanu Satversmes tiesā, ne tikai Satversmes tiesas tiesnešiem noteiktajām garantijām.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Voiciša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šo 6.2. un 6.3. apakšpunktu, norādot saiti uz sabiedrības līdzdalības rezultātiem, kā arī sabiedrības līdzdalības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13.12.2024.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24-TA-2374</w:t>
    </w:r>
    <w:r>
      <w:br/>
    </w:r>
    <w:r w:rsidR="00000000" w:rsidRPr="00000000" w:rsidDel="00000000">
      <w:rPr>
        <w:rtl w:val="0"/>
      </w:rPr>
      <w:t xml:space="preserve">Izdrukāts 13.12.2024.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Atzinumi_24-TA-2374.docx</dc:title>
</cp:coreProperties>
</file>

<file path=docProps/custom.xml><?xml version="1.0" encoding="utf-8"?>
<Properties xmlns="http://schemas.openxmlformats.org/officeDocument/2006/custom-properties" xmlns:vt="http://schemas.openxmlformats.org/officeDocument/2006/docPropsVTypes"/>
</file>