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sanāksmēs un izziņas 21. punktā norādīto, ka jautājumi par transporta infrastruktūras plānošanu tiks diskutēti turpmākā darba procesā, iesaistot arī Satiksmes ministriju, Satiksmes ministrija lūdz no anotācijas izņemt skaidrojumu attiecībā uz terminu “būvprojekta īstenošanas uzsākšana” un to vēlreiz sadarbībā ar Ekonomikas ministrijas un VARAM ekspertiem detalizēti izvērtēt sasaitē ar būvniecības normatīvajiem aktiem, Zemes pārvaldības likumu un nacionālas nozīmes projektu īstenošanas procesu turpmāk plānotajās darba grupās.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02.08.2024.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02.08.2024.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