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ASSETS"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likumdevējiem un valsts institūcijām vairāk kā 10 gadu garumā jau neskaitāmas reizes ir norādījusi, ka ogļūdeņražu nozarē ir specifika, kas jāņem vērā – urbumu nepārtrauktība. Lūdzam sabalansēt visu normatīvo aktu prasības, tai skaitā likumā "Par zemes dzīlēm", ogļūdeņražu izpētei un ieguvei, lai tehniski tās būtu iespējams izpildīt, ievērojot urbumu darbības nepārtrauktību.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Ministrija nav izpratusi priekšlikuma būtību par terminoloģiju. Asociācija piekrīt, ka iespējams formulējums “ogļūdeņražu ieguve — ogļūdeņražu atdalīšana no to dabiskās vides.”, tomēr kategoriski lūdz svītrot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ES saimniecisko darbību statistisko klasifikācijā  (NACE: Saimniecisko darbību statistiskā klasifikācija Eiropas Kopienā, 2. redakcija) kopā noteiktas 615 saimniecisko darbību klases, kuras reģistrējot norāda komersanti, kas veic saimniecisko darbību ar mērķi gūt peļņu kā to nosaka Komerclikums. Nav un nevar būt visām saimnieciskajām darbībām attiecīgo nozaru normatīvajā regulējumā norādīts tāds formulējums kā ogļūdeņražu ieguvei  – “ogļūdeņražu atdalīšana no to dabiskās vides,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radīts izņēmums, kas nav attiecināts pat uz derīgo izrakteņu ieguvi (likums “Par zemes dzīlēm” 1.pants) un kādēļ Ministrija nav sniegusi pamatojumu Asociācijas priekšlikuma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par ogļūdeņražu ieguvi peļņas gūšanas nolūkā neatbilst ne komercdarbības jēgai, ne  mērķiem, ne arī Eiropas Kopienas saimniecisko darbību statistiskajai klasifikācijai, tātad ogļūdeņražu ieguve tiek izcelta no visiem komercdarbības veidiem bez jebkāda loģiska un ticama pamatojuma.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ogļūdeņražu ieguve – tehnoloģisku darbu komplekss ogļūdeņražu atdalīšanai no zemes apakšslāņiem”.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ogļūdeņražu ieguve — ogļūdeņražu atdalīšana no to dabiskās vides.”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kā pārējiem derīgiem izrakteņiem tautsaimniecības ilgtspējīgai attīstībai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pirmās daļas 3. punktu un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ogļūdeņražu meklēšanai –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iebilst pret Likumprojekta priekšlikumu – likuma “Par zemes dzīlēm” 8.panta pirmās daļas 3.punkta pirmā teikuma redakciju: “persona, kas ar zemes īpašnieku vai pilnvaroto personu noslēgusi līgumu, kurā norādīts zemes dzīļu izmantošanas veids, līdz brīdim kamēr līgums ir spēkā”. Zemes īpašnieku var pārstāvēt ne tikai pilnvarota persona, bet arī likumiskais pārstāvis (piemēram, aizbildnis kā nepilngadīgā pārstāvis). Attiecīgi likumā ir precizējamas pārstāvības tiesības, kas izriet līgumiskām vai likumiskām attiecībām un piešķir tiesības slēgt darījumus zemes īpašnieka vārdā. Tas pats ir attiecināms uz vārdiem “līdz brīdim kamēr līgums ir spēkā”, jo no 8.panta pirmās daļas otrā teikuma izriet, ka līgums ir obligāts priekšnoteikums zemes dzīļu izmantošanas licences saņemšanai. Tas nozīmē, ja līgums nav spēkā, tad nepastāv priekšnoteikums zemes dzīļu izmantošanas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kas ar zemes īpašnieku vai tā pilnvarotu pārstāvi noslēgusi līgumu, kurā norādīts zemes dzīļu izmantošanas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meklēšanai – uz laiku līdz pieciem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norādīto, ka likumā “Par zemes dzīlēm” ir precizējamas pārstāvības tiesības, jo papildus tam pastāv pārstāvības, kas izriet no līgumiskām vai likumiskām attiecībām un piešķir tiesības slēgt darījumus zemes īpašnieka vārdā. Ministrija nav sniegusi pamatojumu, kāpēc būtu jāmaina likumā esošo vārdu “pienācīgi” pret “atbilstoši”. Lūdzam atstāt vārdu “pienācīgi”.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saņemt licences termiņa pagarinājumu, jaunu licenci vai licenci iepriekš izsniegtās atļaujas vietā, ja ir pienācīgi pildīti iepriekšējās licences nosacījumi un ja to pieļauj ar zemes īpašnieku vai pilnvaroto personu noslēgtais zemes dzīļu izmantošanas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likuma “Par zemes dzīlēm” 16.panta sestajā daļā vārdu “neaptur” ar vārdu “aptur”, ievērojot, ka ogļūdeņražu urbumu darbību nedrīkst apturēt. Skatīt Ministrijai iesniegto 07.10.2022. ekspertu slēdzienus.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aptur šā lēmuma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uzskata, ka ir jābūt noteiktajam iestādes pienākumam izvērtēt katru gadījumu, kad ir lemjams jautājums par zemes dzīļu izmantošanas ierobežošanu vai apturēšanu un šī iemesla dēļ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zināms, ka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dzīļu izmantošanas licenci tās izsniedzējs var atcelt vai bieži sastopamo derīgo izrakteņu ieguves atļauju Valsts vides dienests var atcelt, ja licences vai atļaujas adresāts:”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