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Kombinēto mācību īstenošanas un organizēšanas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2.1. apakšpunktā identificētās projekta ietekmētās mērķa grupas un projekta ietekmes uz tām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pie juridiskajām personām vispārīgi norādītas izglītības iestādes, neņemot vērā to juridisko statusu. Lūdzam anotācijas 2. sadaļā atspoguļot projekta ietekmi uz privāto tiesību subjektiem, savukārt projekta ietekmi uz valsts un pašvaldību institūcijām atspoguļot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precīzāk raksturot projekta ietekmi uz anotācijas 2.1. apakšpunktā identificētajām mērķa grupām, ņemot vērā, ka projektā dažādām izglītojamo grupām un izglītības programmu īstenotājiem paredzēti atšķirīgi kombinēto mācību organizēšanas un īstenošanas nosacījumi, savukārt pašreiz anotācijā sniegtais ietekmes apraksts ir vispārīgs un pēc būtības vienāds.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apakšpunktā identificēt projekta izpildē iesaistītās valsts un pašvaldību institūcijas, ņemot vērā arī projektā paredzēto izglītības iestāžu dibinātāju iesaisti kombinēto mācību organizēšanā. Vēršam uzmanību, ka fiziskās personas un privāto tiesību subjekti nav norādāmi kā projekta izpildē iesaistītās institūcijas anotācijas 7.1.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anotācijas 7.4. apakšpunktu un atspoguļot projekta ietekmi uz iesaistīto institūciju funkciju un uzdevumu izpildi un iekšējiem procesiem, ņemot vērā projektā paredzētos pienākumus kombinēto mācību organizēšanai, tostarp iekšējās kārtības noteikšanai, tehniskās vides nodrošināšanai un sadarbībai ar izglītības iestādes dibinātāju.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Atzinumi_26-TA-1783.docx</dc:title>
</cp:coreProperties>
</file>

<file path=docProps/custom.xml><?xml version="1.0" encoding="utf-8"?>
<Properties xmlns="http://schemas.openxmlformats.org/officeDocument/2006/custom-properties" xmlns:vt="http://schemas.openxmlformats.org/officeDocument/2006/docPropsVTypes"/>
</file>