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(Izziņa_25-TA-3014_par DelfinGroup iebildumu)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norāda, ka informatīvajā ziņojumā nav minēts, kā reforma skars licencētus ārpustiesas parādu atgūšanas pakalpojumu sniedzējus (kuru AML uzraudzību šobrīd nodrošina PTAC) un biznesa kreditētājus (kurus uzrauga VID). Ja saglabāsies esošais modelis, ka PTAC un VID turpinās nodrošināt šo subjektu uzraudzību AML jomā, tad netiks pietiekamā mērā sasniegts reformas mērķis, kas vērsts uz uzraugošo iestāžu sadrumstalotības 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norāda, ka informatīvajā ziņojumā nav pietiekami vērtēts tas, kāda būtu ietekme uz attiecīgo uzņēmumu darbību, mainoties patērētāju kreditētāju uzraudzības institūcijai, jo īpaši - kāds varētu būt sagaidāmais administratīvā sloga samazinājums uzņēmumiem. LDDK ieskatā būtu nepieciešams izvērtēt paredzamās administratīvā sloga izmaiņas patērētāju kreditētājiem no vairākiem aspektiem,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patērētāju maksātspējas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uzņēmumu kredītrisku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piekļuves nodrošināšana kredītinformācijai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sankciju riska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kiberdrošības un IT risku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negodīgas komercprakses un reklāmas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atskaišu sniegšana, pārbaužu veikšanas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rosina papildināt informatīvo ziņojumu ar skaidrojumu par to, kā valsts budžetā tiks kompensēts 2 milj. eiro iztrūkums, kuru turpmāk nesaņems no patērētāju kreditētājiem, bet kas šobrīd tiek novirzīts PTAC dažādu funkciju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26.01.2026. 21.10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26.01.2026. 21.10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