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23-TA-1895: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2.2.3. specifiskā atbalsta mērķa "Uzlabot dabas aizsardzību un bioloģisko daudzveidību, “zaļo” infrastruktūru, it īpaši pilsētvidē, un samazināt piesārņojumu" 2.2.3.5. pasākuma "Gaisa piesārņojuma samazināšanas pasākumi pašvaldībās"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valsts tiešās pārvaldes iestādi, kuras īpašumā, valdījumā vai turējumā ir zeme, kurā neveic saimniecisko darbību un kurā īstenos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atbalstāmās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20.2. apakšpunkts paredz, ka attiecīgo projektu cita starpā var īstenot sadarbībā ar valsts tiešās pārvaldes iestādi, kuras īpašumā, valdījumā vai turējumā ir zeme, kurā neveic saimniecisko darbību. Vēršam uzmanību, ka projekta 20.2. apakšpunktu un anotāciju nepieciešams precizēt atbilstoši Valsts pārvaldes iekārtas likuma 91. panta pirmajai daļai, kas noteic, ka publiskas personas manta atrodas iestādes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Komercdarbības atbalsta saņēmējs un vispārējas tautsaimnieciskas nozīmes pakalpojuma pilnvarojuma uzlicējs nodrošina, ka pilnvarojuma periodā un vismaz 10 gadus pēc pilnvarojuma perioda beigām tiek saglabāta un nodrošināta pieejamība visai nepieciešamajai informācijai, lai noteiktu, vai piešķirtais atbalsts ir saderīgs ar Eiropas Komisijas lēmumu Nr. 2012/21/ES.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w:t>
            </w:r>
            <w:r w:rsidR="00000000" w:rsidRPr="00000000" w:rsidDel="00000000">
              <w:rPr>
                <w:b w:val="1"/>
                <w:rtl w:val="0"/>
              </w:rPr>
              <w:t xml:space="preserve">48. punktā un 50.2. apakšpunktā</w:t>
            </w:r>
            <w:r w:rsidR="00000000" w:rsidRPr="00000000" w:rsidDel="00000000">
              <w:rPr>
                <w:rtl w:val="0"/>
              </w:rPr>
              <w:t xml:space="preserve"> ietverta atsauce uz </w:t>
            </w:r>
            <w:r w:rsidR="00000000" w:rsidRPr="00000000" w:rsidDel="00000000">
              <w:rPr>
                <w:i w:val="1"/>
                <w:rtl w:val="0"/>
              </w:rPr>
              <w:t xml:space="preserve">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w:t>
            </w:r>
            <w:r w:rsidR="00000000" w:rsidRPr="00000000" w:rsidDel="00000000">
              <w:rPr>
                <w:rtl w:val="0"/>
              </w:rPr>
              <w:t xml:space="preserve">(turpmāk -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tāpat kā direktīvas.[1]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2. pants noteic, ka šo lēmumu piemēro valsts atbalstam attiecībā uz kompensāciju par sabiedrisko pakalpojumu sniegšanu, kas piešķirta uzņēmumiem, kuriem uzticēts sniegt pakalpojumus ar vispārēju tautsaimniecisku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13. pants noteic, ka šis lēmums ir adresēts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šajā gadījumā nepieciešams izvērtēt, vai Lēmums satur tādas normas, kas attiecināmas arī uz privātpersonām. Ja Lēmums šādas normas satur, tad lūdzam tās pārņemt noteikumu projektā pēc būtības un attiecīgi precizēt noteikumu projekta 48. punktu un 50.2.apakšpunktu, svītrojot atsauci uz Lēmumu. Ja Lēmums nesatur normas, kas jāattiecina uz privātpersonām, un Lēmumu var tieši izpildīt valsts iestādes, tad arī šādā gadījumā atsauce uz Lēmumu svītrojama, jo normatīvā akta tekstā atsauces raksta tikai uz tieši piemērojamiem Eiropas Savienības tiesību aktiem (regulām) un to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 arī Eiropas Savienības tiesību ieviešanas rokasgrāmatas 2.8. apakšnodaļu „Lēmumu ieviešana”, 48. lp., pieejama: https://www.tm.gov.lv/lv/es-tiesibu-ieviesana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23-TA-1895</w:t>
    </w:r>
    <w:r>
      <w:br/>
    </w:r>
    <w:r w:rsidR="00000000" w:rsidRPr="00000000" w:rsidDel="00000000">
      <w:rPr>
        <w:rtl w:val="0"/>
      </w:rPr>
      <w:t xml:space="preserve">Izdrukāts 21.11.2023. 20.53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23-TA-1895</w:t>
    </w:r>
    <w:r>
      <w:br/>
    </w:r>
    <w:r w:rsidR="00000000" w:rsidRPr="00000000" w:rsidDel="00000000">
      <w:rPr>
        <w:rtl w:val="0"/>
      </w:rPr>
      <w:t xml:space="preserve">Izdrukāts 21.11.2023. 20.53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Atzinumi_23-TA-1895.docx</dc:title>
</cp:coreProperties>
</file>

<file path=docProps/custom.xml><?xml version="1.0" encoding="utf-8"?>
<Properties xmlns="http://schemas.openxmlformats.org/officeDocument/2006/custom-properties" xmlns:vt="http://schemas.openxmlformats.org/officeDocument/2006/docPropsVTypes"/>
</file>