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kasi par projekta iesniedzēju un Finanšu ministriju (Valsts kasi) par atbildīgo, un Veselības ministriju, Zemkopības ministriju, Vides aizsardzības un reģionālās attīstības ministriju par līdzatbildīgo projekta īstenošanā un projekta pasē plānoto rezultātu (tai skaitā finanšu, rezultāta un ieguvumu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Norādām, ka rīkojuma projekta saturu pamatā noteic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13.1. apakšpunkts, kas paredz, ka ir iesniedzamas ziņas par finansējuma saņēmēju, kas īsteno projekta darbības, kā arī iekļauj projekta pasi un centralizētas funkcijas vai koplietošanas pakalpojuma attīstības plānu. Skaidrojam, ka minētais šobrīd izriet no rīkojuma projekta, savukārt rīkojuma projekta 4. punkts pēc būtības skaidro projekta iesniedzēja un citu tiesību subjektu tiesības, pienākumus un atbildību, kas izriet no minētajiem noteikumiem (tai skaitā prasības, ka projekts tiek īstenots atbilstoši projekta īstenošanas līgumam un noteikumiem (sk., piem., noteikumu Nr. 435 18.2. apakšpunktu) un to, ka projekta iesniedzējs ir atbildīgs par projekta mērķu sasniegšanu un tā īstenošanu atbilstoši projekta īstenošanas līguma nosacījumiem (sk. noteikumu Nr. 435 28. punktu)). Ja rīkojuma projektā nepieciešams ietvert skaidrojumu par pases rādītājiem, ierosinām precizēt rīkojuma projekta 1. punktu, iekļaujot un atsevišķi izdalot skaidrojumu par pases rādītājiem,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28. punktam ir atbildīgs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kasi par projekta iesniedzēju un Finanšu ministriju (Valsts kasi) par atbildīgo, un Veselības ministriju, Zemkopības ministriju, Vides aizsardzības un reģionālās attīstības ministriju par līdzatbildīgo projekta īstenošanā un projekta pasē plānoto rezultātu (tai skaitā finanšu, rezultāta un ieguvumu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435 iepretim rīkojuma projekta 4. punktam neparedz institūcijas, kuras ir līdzatbildīgas projekta īstenošanā, bet gan paredz sadarbības partnerus, kuru kompetence izriet no sadarbības līguma, kas tiek noslēgts ar finansējuma saņēmēju. Tāpat arī vēršam uzmanību, ka nav saprotams pamatojums rīkojuma projekta 4. punktā norādīt uz Valsts kasi gan kā projekta iesniedzēju, gan atbildīgo (tai skaitā nav skaidrs, kā tiek nodalīta Finanšu ministrijas un Valsts kases atbildība). Attiecīgi lūdzam atbilstoši svītrot vai precizēt rīkojuma projekta 4. punktu, nodrošinot skaidrus un nepārprotamus attiecīgajām institūcijām adresētos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30.12.2022.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30.12.2022.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