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izveidojot divas tabulas (viena par rādītājiem līdz 2024.g. un otra par rādītājiem no 2025.g. līdz 2029.g.), tajās norādot aktivitātes un apakšaktivitātes nosaukumus,  projekta attiecināmās izmaksas, CO2, kg ietaupījumu, pasākuma efektivitāti, EKII atbalstu, EKII atbalsta īpatsvaru, kā arī iekļaujot pārējo EKII finansēto aktivitātes (uz ko tieši neattiecās šie grozījumi) un to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ir nosūtīta e-pastā tiesību akta sagatavotājam un līdzizpildītājam no KEM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ietekmi uz nevienlīdzību punktā 8.1.8. (ietekme) “uz iedzīvotāju sociālo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ar atbalstu jau sasniegto SEG emisiju samazinājumu; Ja ir iespējams, par: atbalsta saņēmēju (mājsaimniecības) ienākumu līmeni; par videi draudzīgu transportlīdzekļu infrastruktūras attīstības rādītājiem (piemēram: elektriskiem transportlīdzekļiem (tālāk ET) uzlādes staciju skaita palielinājums; ET skaits uz vienu ET uzlādes staciju; videi draudzīgu transportlīdzekļu servisa pakalpojumu pieejamība) sadaļā “Pašreizējā situācija”.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informāciju par izmantoto finansējumu un atbalsta ietvaros iegādāto transportlīdzekļu skaitu. Ņemot vērā anotācijā minēto un noteikumu 17. punktu ir aprēķināts, ka izmantotais finansējums ir: 36*6750+4*9000+53*5000+1*6750+19*6750+2*9000 + (1558-40)*4500+(550-54)*3350+(251-21)*4500 + 124*2000 =  10 472 600 euro. Anotācijā minētais izlietotājs finansējums ir mazāks – 9,7 milj.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norādīt informāciju par KEM budžeta apakšprogrammā 33.02.00 “Emisijas kvotu izsolīšanas instrumenta projekti” jau šobrīd piešķirto finansējumu EKII konkursa “Siltumnīcefekta gāzu emisijas samazināšana transporta sektorā – atbalsts bezemisiju un mazemisiju transportlīdzekļu iegādei” īstenošanai, aizpildot aili “saskaņā ar valsts budžetu kārtējam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6.sadaļā punktā “Skaidrojums” norādīto informāciju, jo šobrīd tās saturs neatbilst noteikumu projektā paredzētajam (šobrīd sniegtā informācija ir saistoša TA lietai Nr.24-TA-2506 nevis Nr.24-TA-2507).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01.11.2024. 12.02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01.11.2024. 12.02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Atzinumi_24-TA-2507.docx</dc:title>
</cp:coreProperties>
</file>

<file path=docProps/custom.xml><?xml version="1.0" encoding="utf-8"?>
<Properties xmlns="http://schemas.openxmlformats.org/officeDocument/2006/custom-properties" xmlns:vt="http://schemas.openxmlformats.org/officeDocument/2006/docPropsVTypes"/>
</file>