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22-TA-3699: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un Eiropas Savienības atbalsta piešķiršanas kārtība pasākumā "Aizsargājamo jūras zīdītāju radīto zaudējumu segšana"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Publiskā finansējuma apmēru (</w:t>
            </w:r>
            <w:r w:rsidR="00000000" w:rsidRPr="00000000" w:rsidDel="00000000">
              <w:rPr>
                <w:i w:val="1"/>
                <w:rtl w:val="0"/>
              </w:rPr>
              <w:t xml:space="preserve">euro</w:t>
            </w:r>
            <w:r w:rsidR="00000000" w:rsidRPr="00000000" w:rsidDel="00000000">
              <w:rPr>
                <w:rtl w:val="0"/>
              </w:rPr>
              <w:t xml:space="preserve">) par aizsargājamo zīdītāju radītajiem zaudējumiem kalendāra gadā katrai attiecīgajai zivju sugai aprēķina, izmantojot šādu formulu: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finansējuma apmērs katrai attiecīgajai zivju sugai (</w:t>
            </w:r>
            <w:r w:rsidR="00000000" w:rsidRPr="00000000" w:rsidDel="00000000">
              <w:rPr>
                <w:i w:val="1"/>
                <w:rtl w:val="0"/>
              </w:rPr>
              <w:t xml:space="preserve">euro</w:t>
            </w:r>
            <w:r w:rsidR="00000000" w:rsidRPr="00000000" w:rsidDel="00000000">
              <w:rPr>
                <w:rtl w:val="0"/>
              </w:rPr>
              <w:t xml:space="preserve">) = A x B x C, kur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 attiecīgās zivju sugas nozvejas apjoms Baltijas jūras un Rīgas līča piekrastes ūdeņos (kg) atbilstoši valsts informācijas sistēmas "Latvijas Zivsaimniecības integrētā kontroles un informācijas sistēma" datiem kalendāra gadā, par kuru pretendē uz publisko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 vērtības koeficients Baltijas jūras un Rīgas līča piekrastes ūdeņos nozvejotam vienam kilogramam akmeņplekstes, sīgas, zandarta, asara, lucīša, mencas, vimbas, plauža, laša, taimiņa, salakas, reņģes, vējzivs, apaļā jūrasgrunduļa, jūras grunduļa un plekstes atbilstoši Zemkopības ministrijas noteiktai vienotai likmei saskaņā ar regulas 2021/1060 53. panta 1. punkta "d" apakšpunktu un 3. punkta "a" apakšpunktu. Minēto vienotās likmes apmēru Lauku atbalsta dienests publicē oficiālajā izdevumā "Latvijas Vēstnesis";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 koeficients, kas par aizsargājamo zīdītāju radīto zaudējumu attiecībā uz akmeņpleksti, sīgu, zandartu, asari, lucīti, mencu, vimbu, plaudi, lasi, taimiņu un salaku, ir 38 procenti, par reņģi, apaļo jūrasgrunduli un jūras grunduli un vējzivi – 20 procenti un par pleksti – 10 procenti.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pamatot, kāpēc koeficients par reņģi, apaļo jūrasgrunduli un jūras grunduli un pleksti noteikts ievērojami zemāks nekā pārējām zivju sugām.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5. sadaļas 1. tabulu ar notekumu projekta 9. punktā minēto Eiropas Savienības tiesību aktu.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22-TA-3699</w:t>
    </w:r>
    <w:r>
      <w:br/>
    </w:r>
    <w:r w:rsidR="00000000" w:rsidRPr="00000000" w:rsidDel="00000000">
      <w:rPr>
        <w:rtl w:val="0"/>
      </w:rPr>
      <w:t xml:space="preserve">Izdrukāts 02.03.2023.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22-TA-3699</w:t>
    </w:r>
    <w:r>
      <w:br/>
    </w:r>
    <w:r w:rsidR="00000000" w:rsidRPr="00000000" w:rsidDel="00000000">
      <w:rPr>
        <w:rtl w:val="0"/>
      </w:rPr>
      <w:t xml:space="preserve">Izdrukāts 02.03.2023.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Atzinumi_22-TA-3699.docx</dc:title>
</cp:coreProperties>
</file>

<file path=docProps/custom.xml><?xml version="1.0" encoding="utf-8"?>
<Properties xmlns="http://schemas.openxmlformats.org/officeDocument/2006/custom-properties" xmlns:vt="http://schemas.openxmlformats.org/officeDocument/2006/docPropsVTypes"/>
</file>