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25-TA-2507: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 jūlija noteikumos Nr. 432 "Eiropas Savienības Atveseļošanas un noturības mehānisma plāna 7.1.1. reformas "Enerģijas sektora transformācija" 7.1.1.1.i. investīcijas "Elektroenerģijas pārvades sistēmas sinhronizācija", 7.1.1.2.i. investīcijas "Elektroenerģijas pārvades un sadales tīklu modernizācija" un 7.1.1.3.i. investīcijas "Biometāna īpatsvara galapatēriņā palielināšana"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par plānotajiem saturiskajiem grozījumiem Ministru kabineta 2024. gada 2. jūlija noteikumu Nr. 432 "Eiropas Savienības Atveseļošanas un noturības mehānisma plāna 7.1.1. reformas "Enerģijas sektora transformācija" 7.1.1.1.i. investīcijas "Elektroenerģijas pārvades sistēmas sinhronizācija", 7.1.1.2.i. investīcijas "Elektroenerģijas pārvades un sadales tīklu modernizācija" un 7.1.1.3.i. investīcijas "Biometāna īpatsvara galapatēriņā palielināšana" īstenošanas noteikumi" (turpmāk - noteikumi Nr. 432) 4.2.3. un 4.2.4. apakšpunktā minētajos mērķos,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- 4.2.3. apakšpunktā svītrojot vārdus "uzbūvējot jaunas 110 kilovoltu apakšstacijas un palielinot esošo 110 kilovoltu apakšstaciju jaudu vai palielinot esošo 110 kilovoltu apakšstaciju jaudu";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- 4.2.4. apakšpunktā aizstājot vārdus "esošo elektroenerģijas sadales sistēmas gaisvadu līniju pārbūve par" ar vārdu "izbūve".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paredzētas izmaiņas noteikumu Nr. 432 10.1. un 10.2. apakšpunktā (ievērojot finansējuma 6 881 812 </w:t>
            </w:r>
            <w:r w:rsidR="00000000" w:rsidRPr="00000000" w:rsidDel="00000000">
              <w:rPr>
                <w:i w:val="1"/>
                <w:rtl w:val="0"/>
              </w:rPr>
              <w:t xml:space="preserve">euro</w:t>
            </w:r>
            <w:r w:rsidR="00000000" w:rsidRPr="00000000" w:rsidDel="00000000">
              <w:rPr>
                <w:rtl w:val="0"/>
              </w:rPr>
              <w:t xml:space="preserve"> apmērā pārdali no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taču netiek veiktas izmaiņas noteikumu Nr. 432 5. punktā attiecībā uz 7.1.1. reformas "Enerģijas sektora transformācija" 7.1.1.1.i. investīcijai "Elektroenerģijas pārvades sistēmas sinhronizācija", 7.1.1.2.i. investīcijai "Elektroenerģijas pārvades un sadales tīklu modernizācija" un 7.1.1.3.i. investīcijai "Biometāna īpatsvara galapatēriņā palielināšana" pieejamo finansējumu, lūdzam normatīvā regulējuma viennozīmīgas interpretācijas un finansējuma izsekojamības nolūkos skaidrot anotācijā, kādi precīzi finansējuma atlikumi ir izveidojušies minētajās 7.1.1. reformas investīcijās, un kādiem mērķiem (investīcijām) tos paredzēts izmantot atbilstoši Eiropas Savienības fondu tematiskās komitejas 2025. gada 28.augusta sēdes protokola 3.3.apakšpunktā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Izrietoši aicinām nepieciešamības gadījumā aizpildīt arī anotācijas 4. sadaļu, norādot tiesību aktus, kuros veicamas atbilstošas izmaiņas par finansējuma apmēra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anotācijas 3.sadaļu, neaizpildot tabulu un punktā “Cita informācija” norādot, ka noteikumu projektam nav ietekmes uz valsts budžetu, jo tas precizē finansējuma sadalījumu starp projekta iesniedzējiem, nemainot kopējo investīcijām pieejamo Atveseļošanas un noturības mehānisma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1.6. sadaļu finansējuma izsekojamības nolūkos papildināt ar nosacījumu, ka finansējuma pārdali iespējams veikt tikai pēc attiecīgā finansējuma vai saistību atbrīvošanas.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Timermane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Investīciju ietvaros ir sasniedzami šādi Atveseļošanas fonda plānā minētie sasniedzamie rādītāji (turpmāk – investīciju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plānotos grozījumus noteikumu Nr. 432 4. punktā (gan attiecībā uz atskaites punktu svītrošanu, gan attiecībā uz izmaiņām atskaites punktā un mērķos), lūdzam pārskatīt un izvērtēt nepieciešamību veikt atbilstošus grozījumus arī noteikumu Nr. 432 III, IV un V nodaļā.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atskaites punkts – līdz 2026. gada 30. jūnijam ir pabeigta 110 kilovoltu digitālās apakšstacijas izbūve Kuldīgas pilsētā un 110 kilovoltu apakšstacijas rekonstrukcija Ādažu novada Carnikavas pagastā;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Klimata un enerģētikas ministriju pārskatīt un nepieciešamības gadījumā precizēt  noteikumu Nr. 432 4.2.1.apakšpunktā norādīto atskaites punktu atbilstoši Padomes 2021. gada 13. jūlija Īstenošanas lēmumam par Latvijas atveseļošanas un noturības plāna novērtējuma apstiprināšanu.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Irma Bondare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 nodrošināt korupcijas, krāpšanas, interešu konflikta neesību, kā arī parakstīt apliecinājumu par interešu konflikta neesību saskaņā ar regulas Nr. </w:t>
            </w:r>
            <w:r w:rsidR="00000000" w:rsidRPr="00000000" w:rsidDel="00000000">
              <w:rPr>
                <w:rtl w:val="0"/>
              </w:rPr>
              <w:t xml:space="preserve">2018/1046</w:t>
            </w:r>
            <w:r w:rsidR="00000000" w:rsidRPr="00000000" w:rsidDel="00000000">
              <w:rPr>
                <w:rtl w:val="0"/>
              </w:rPr>
              <w:t xml:space="preserve"> 61.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svītrot noteikumu Nr. 432 30.3. apakšpunkta spēkā esošajā redakcijā noteikto pienākumu parakstīt apliecinājumu par interešu konflikta neesību saskaņā ar </w:t>
            </w:r>
            <w:r w:rsidR="00000000" w:rsidRPr="00000000" w:rsidDel="00000000">
              <w:rPr>
                <w:i w:val="1"/>
                <w:rtl w:val="0"/>
              </w:rPr>
              <w:t xml:space="preserve">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000000" w:rsidRPr="00000000" w:rsidDel="00000000">
              <w:rPr>
                <w:rtl w:val="0"/>
              </w:rPr>
              <w:t xml:space="preserve"> (turpmāk - Regula 2018/1046), 61. pantu, ņemot vērā konkrēto projektu veidu un to, ka 61. panta prasības ir tieši piemērojamas tādiem projektiem, kas saistīti ar Eiropas Savienības fondu, tostarp Atveseļošanas un noturības mehānisma, atbalsta saņemšanu un vienlaikus kuros finansējuma saņēmējs atlases kārtībā projekta dalībniekiem vai gala saņēmējiem sniedz finansiālu atbalstu (t.s. </w:t>
            </w:r>
            <w:r w:rsidR="00000000" w:rsidRPr="00000000" w:rsidDel="00000000">
              <w:rPr>
                <w:u w:val="single"/>
                <w:rtl w:val="0"/>
              </w:rPr>
              <w:t xml:space="preserve">daudzpakāpju projekti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2024. gada 30. septembrī stājusies spēkā jaunā “Finanšu regula” – </w:t>
            </w:r>
            <w:r w:rsidR="00000000" w:rsidRPr="00000000" w:rsidDel="00000000">
              <w:rPr>
                <w:i w:val="1"/>
                <w:rtl w:val="0"/>
              </w:rPr>
              <w:t xml:space="preserve">Eiropas Parlamenta un Padomes 2024. gada 23. septembra Regula (ES, Euratom) 2024/2509 par finanšu noteikumiem, ko piemēro Savienības vispārējam budžetam (pārstrādāta redakcija)</w:t>
            </w:r>
            <w:r w:rsidR="00000000" w:rsidRPr="00000000" w:rsidDel="00000000">
              <w:rPr>
                <w:rtl w:val="0"/>
              </w:rPr>
              <w:t xml:space="preserve"> (turpmāk - Regula 2024/2509), un saskaņā ar Regulas 2024/2509 279. pantu tā atceļ iepriekšējo “Finanšu regulu” – Regulu 2018/1046.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25-TA-2507</w:t>
    </w:r>
    <w:r>
      <w:br/>
    </w:r>
    <w:r w:rsidR="00000000" w:rsidRPr="00000000" w:rsidDel="00000000">
      <w:rPr>
        <w:rtl w:val="0"/>
      </w:rPr>
      <w:t xml:space="preserve">Izdrukāts 19.12.2025. 16.06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25-TA-2507</w:t>
    </w:r>
    <w:r>
      <w:br/>
    </w:r>
    <w:r w:rsidR="00000000" w:rsidRPr="00000000" w:rsidDel="00000000">
      <w:rPr>
        <w:rtl w:val="0"/>
      </w:rPr>
      <w:t xml:space="preserve">Izdrukāts 19.12.2025. 16.06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Atzinumi_25-TA-2507.docx</dc:title>
</cp:coreProperties>
</file>

<file path=docProps/custom.xml><?xml version="1.0" encoding="utf-8"?>
<Properties xmlns="http://schemas.openxmlformats.org/officeDocument/2006/custom-properties" xmlns:vt="http://schemas.openxmlformats.org/officeDocument/2006/docPropsVTypes"/>
</file>