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37.-41. lpp., 42.-50. lpp., 52.-58. lpp., 58.-63. lpp., 63.-63. lpp., 65.-66.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tabulās iekļaut norādes uz kādu un kādā apmērā rezultatīvo rādītāju konkrētais pasākums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28.lpp. […] «atelpas brīža» pakalpojums bērniem ar smagiem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Aprakstošā daļā aktualizētais nav iekļauts rīcības sadaļā. Lūdzam iekļaut konkrētus pasākumus attiecībā uz šāda tipa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nav sasniedzamā rādītāja attiecībā uz izglītojamo skaitu, kuri darbojas STEM jomu interešu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Sasniedzamais rādītājs: Izglītojamo skaits, kuri darbojas STEM jomu interešu izglītības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41.lpp. Bērnu uzraudzības pakalpojumu pilnveide: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skaidrot, kuras darbības plānots finansēt no valsts budžeta un kuras darbības plānots piedāvāt ar nosacījumu, ka finansē vecāks/likumiskais pārstāvis. Lūdzam rast risinājumu, kā novērst projekta “Bērnu pieskatīšanas pakalpojumi”[1] īstenošanā konstatēto – netiek sniegts finansiāls atbalsts vecākam/likumiskajam pārstāvim gadījumos, kad bērnam ir izsniegta ārsta zīme par nespēju apmeklēt pirmsskolu (kā rezultātā tiek izmantots bērnu uzraudzības pakalpojums) psiholoģiskās sagatavotības vai veselības stāvokļa dēļ.</w:t>
            </w:r>
            <w:r w:rsidR="00000000" w:rsidRPr="00000000" w:rsidDel="00000000">
              <w:rPr>
                <w:i w:val="1"/>
                <w:rtl w:val="0"/>
              </w:rPr>
              <w:t xml:space="preserve">[1] https://likumi.lv/ta/id/346323-eiropas-savienibas-kohezijas-politikas-programmas-2021-2027-gadam-4-3-6-specifiska-atbalsta-merka-veicinat-nabadzibas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41.lpp. Paplašinātas grupas, kuru uzņemšana PII nosakāma prioritārā kārtībā, piemēram, bērni, kuru vecākiem ir funkcionālie traucējumi, bērni no daudzbērnu ģimenēm un bērni, kurus audzina viens pieaugušais.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detalizētāk skaidrot, kādā secībā iepretim citām prioritārām grupām tiek plānots šo noteikt. Šāda informācija ir būtiska, lai nodrošinātu skaidrību par prioritāšu noteikšanas principiem un to ietekmi. Vēršam uzmanību, ka jau šobrīd pašvaldību saistošie noteikumi paredz ārpuskārtas vietu piešķiršanu citos gadījumos, kuros ietilpst arī šādu apstākļu izvērtēšana.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40.lpp. PII pieejamība no bērna viena gada vecuma.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detalizētāk skaidrot par plānotajām atbalstāmajām darbībām. Uzsveram, ka, lai efektīvi īstenotu šo darbību nepieciešams paredzēt samazinātu bērnu skaitu grupā (līdz 14), noteikt vismaz 2 (divu) pedagogu un 1 (viena) skolotāja palīga esamību vienlaicīgi grupā, specifiskus mācību līdzekļus, inventāru, pamatlīdzekļus (mīkstais segums, gultas), ēdienu specifiku (blenderēšanas pieaugums). Aicinām iegūt datus par tiem bērniem, kas uzsāk pirmo mācību gadu pirmsskolā un korelāciju ar slimošanas epizodēm. Ja agrāka pieejamības nodrošināšana saistīta ar ātrāku vecāku atgriešanos darba vidē, nepieciešams vispirms izvērtēt minētās korelācijas ietekmi uz spēju pilnvērtīgi atgriezties darba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40.lpp. PII pakalpojuma pieejamība personām, kuru dzīvesvieta nav deklarēta attiecīgajā pašvaldībā gadījumos, ja minētās pašvaldības teritorijā atrodas darba devējs, kurā persona faktiski veic savu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gan pašvaldību saistošos noteikumos jau ir paredzētas šādas atbalsta iespējas, šīs iespējas praksē bieži vien nav īstenojamas. Tas saistīts ar to, ka vietas pirmsskolas izglītības iestādēs primāri tiek piešķirtas pirmās un otrās prioritātes grupām, kas ir saistīts ar deklarēšanos attiecīgajā pašvaldībā. Tā kā pat šīm grupām bieži vien pietrūkst vietu, trešās pakāpes prioritātes grupas pārstāvjiem (nav deklarēti attiecīgajā pašvaldībā) pakalpojuma pieejamību faktiski nereti nemaz nevar nodrošināt. Lūdzam detalizētāk skaidrot, kādā secībā iepretim citām prioritārām grupām tiek plānots šo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Vienlaikus aktualizējami ir jautājumi par vietu un pakalpojumu piekļūstamību gan cilvēkiem ar funkcionāliem traucējumiem, gan, piemēram, ģimenēm ar bērnu ratiņiem.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ģimeņu ar bērniem iespējas brīvi un ērti pārvietoties gan savas dzīvesvietas pašvaldības teritorijā, gan arī ārpus tās, ir jāīsteno pasākumi, kas vērsti uz infrastruktūras sakārtošanu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Aprakstošā daļā aktualizētais nav iekļauts rīcības sadaļā.</w:t>
            </w:r>
            <w:r w:rsidR="00000000" w:rsidRPr="00000000" w:rsidDel="00000000">
              <w:rPr>
                <w:i w:val="1"/>
                <w:rtl w:val="0"/>
              </w:rPr>
              <w:t xml:space="preserve">Priekšlikums.</w:t>
            </w:r>
            <w:r w:rsidR="00000000" w:rsidRPr="00000000" w:rsidDel="00000000">
              <w:rPr>
                <w:i w:val="1"/>
                <w:rtl w:val="0"/>
              </w:rPr>
              <w:t xml:space="preserve">Pieaugot izglītojamo skaitam ar funkcionāliem traucējumiem, kuri tiek iekļauti vispārējā izglītībā (pirmsskolās, skolās), pieaug arī nepieciešamība pēc investīcijām vides pieejamības nodrošināšanā izglītības iestādēs. Vides pieejamības infrastruktūra pamatlīmenī ikkatrā izglītības iestādē ļautu novērst situācijas, kad izglītojamam faktiski nav iespējas izvēlēties. Lūdzam rīcības sadaļā iekļaut informāciju par aprakstošajā daļā aktualizētajiem izaicinājumiem un kādas būs atbalstāmās darbības to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58.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akcentēt ne vien kultūrizglītības programmas “Latvijas skolas soma” nozīmīgumu, bet arī tās norises, kas saistītas ar eksakto zinātņu nozarēm (STEM).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 lpp. 38.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lietot jēdzienu “medicīniskā apaugļošana” visā ziņojumā, saskaņā ar Nacionālā veselības dienesta izmantoto terminoloģiju, aizstājot vietām lietoto jēdzienu “mākslīgā apaugļošana.”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konkrētus pasākumus, kas saistīti ar atbalstu NEET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41. lpp., 61. lpp. 1.2.3. Bezmaksas ēdināšana PII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Valsts apmaksāta ēdināšana pirmsskolā un līdz 9. klasei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ir atšķirība starp šīm darbībām pirmsskolas izglītības posma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33.lpp. Vēl viens no kvalitatīvas dzīves vides stūrakmeņiem ir drošības jautājumi. Pasākumu, kas vērsti gan uz Latvijas ārējo drošību, gan iekšējo drošību, stiprinās iedzīvotāju pārliecību, ka pēcnācēju radīšana un bērna ienākšana ģimenē ir droša un bērna dzīvība, veselība un attīstība ir pasargāta no jebkāda iespējama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rīcības daļā attiecināt arī tādus iekšējās drošības aspektus, kas saistāmi ar izglītības vidi – video novērošana, drošības sistēmas risinājumi (piemēram, turniketi, viedkartes) nepiederošu personu iekļūšanas novēršanai, gaisa kvalitāte mācību telpās.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06.11.2024.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06.11.2024.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