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24-TA-737: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Muitas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atbilstību Latvijas Republikas starptautiskajām saistībām un nodrošināt to atspoguļojumu anotācijas 5. sadaļā.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anotācijas 1.3. punktā ietvertā skaidrojuma izriet, ka likumprojekta 2. pants ievieš Eiropas Parlamenta un Padomes 2013. gada 9. oktobra regulas (ES) Nr. 952/2013, ar ko izveido Savienības Muitas kodeksu (turpmāk - Regula 952/2013) 46. pantu. Tāpat, no minētā regulas 952/2013 46. panta 1. punkta izriet arī rīcības brīvība dalībvalstu muitas dienestiem, kuri "</w:t>
            </w:r>
            <w:r w:rsidR="00000000" w:rsidRPr="00000000" w:rsidDel="00000000">
              <w:rPr>
                <w:i w:val="1"/>
                <w:rtl w:val="0"/>
              </w:rPr>
              <w:t xml:space="preserve">var veikt jebkuras muitas kontroles, ko tie uzskata par vajadzīgām</w:t>
            </w:r>
            <w:r w:rsidR="00000000" w:rsidRPr="00000000" w:rsidDel="00000000">
              <w:rPr>
                <w:rtl w:val="0"/>
              </w:rPr>
              <w:t xml:space="preserve">", ko attiecīgi nepieciešams skaidrot arī anotācijas 5.4. punkta 1. tabulas rīcības brīvības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likuma "Par valsts ieņēmumu dienestu" anotācijas izriet, ka likumprojekta 2. pantam (Muitas likuma 14. panta 1.</w:t>
            </w:r>
            <w:r w:rsidR="00000000" w:rsidRPr="00000000" w:rsidDel="00000000">
              <w:rPr>
                <w:vertAlign w:val="superscript"/>
                <w:rtl w:val="0"/>
              </w:rPr>
              <w:t xml:space="preserve">1</w:t>
            </w:r>
            <w:r w:rsidR="00000000" w:rsidRPr="00000000" w:rsidDel="00000000">
              <w:rPr>
                <w:rtl w:val="0"/>
              </w:rPr>
              <w:t xml:space="preserve"> daļa) analoģiska tiesību norma, kas paredz tiesības muitas amatpersonai apturēt transportlīdzekli muitas kontroles veikšanai Latvijas Republikas muitas teritorijā un nogādāt transportlīdzekli muitas iestādē muitas kontroles veikšanai, ievieš, regulas 952/2013 46. pantu. Attiecīgi, lūdzam izvērtēt konkrētās Eiropas Savienības tiesību akta normas ieviešanu likumprojektā un, nepieciešamības gadījumā, to atspoguļot anotācijas 5.4. punkta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Muitas likuma anotācijai ar likumprojektā paredzētajām grozāmām Muitas likuma normām iepriekš ir ieviests, piemēram, regulas 952/2013 41. pants  (likumprojekta 2. pants, Muitas likuma 14. pants). Attiecīgi lūdzam pārskatīt likumprojektu un izvērtēt, vai uz to attiecināmās, šī likumprojekta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ka likumprojekta ietvaros tiek plānots paplašināt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7.sadaļu, ņemot vērā likumprojektā ietvertās jaunās kompetences - ekspertīze, pasta sūtījumu kontrole, transportlīdzekļa apturēšanas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4.pants paredz personas datu apstrādi, aicinām aizpildīt anotācijas 8.1.13. punktu, sniedzot skaidru un saprotamu informāciju par likumprojektā paredzēto personu datu apstrādi, norādot tiesisko pamatojumu personu datu apstrādei, no kā ir izsecināma nepieciešamība apstrādāt personu datus likumprojektā paredzētajā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24-TA-737</w:t>
    </w:r>
    <w:r>
      <w:br/>
    </w:r>
    <w:r w:rsidR="00000000" w:rsidRPr="00000000" w:rsidDel="00000000">
      <w:rPr>
        <w:rtl w:val="0"/>
      </w:rPr>
      <w:t xml:space="preserve">Izdrukāts 16.05.2024.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24-TA-737</w:t>
    </w:r>
    <w:r>
      <w:br/>
    </w:r>
    <w:r w:rsidR="00000000" w:rsidRPr="00000000" w:rsidDel="00000000">
      <w:rPr>
        <w:rtl w:val="0"/>
      </w:rPr>
      <w:t xml:space="preserve">Izdrukāts 16.05.2024.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Atzinumi_24-TA-737.docx</dc:title>
</cp:coreProperties>
</file>

<file path=docProps/custom.xml><?xml version="1.0" encoding="utf-8"?>
<Properties xmlns="http://schemas.openxmlformats.org/officeDocument/2006/custom-properties" xmlns:vt="http://schemas.openxmlformats.org/officeDocument/2006/docPropsVTypes"/>
</file>