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ReferNet tīkla darbības nodrošināšanai nepieciešamo finansējumu 2024.-2027.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ReferNet tīkla darbības nodrošināšanai nepieciešamo finansējumu 2024.-2027.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sniegtajiem papildinājumiem informatīvajā ziņojumā, par to, ka līgums ar Eiropas Profesionālās izglītības attīstības centru (turpmāk - Cadefop) vēl tikai tiks noslēgts, lūdzam izvērtēt, vai finansējuma plānošana konkrētajā brīdī ir korekta. Vēršam uzmanību, ka finansējums ReferNet tīkla nacionālā līmeņa kontaktpunktu darbībai tiek piešķirts, pamatojoties uz abpusēji noslēgtu partnerības ietvarlīgumu ar Cedefop. Ņemot vērā to, ka jaunā perioda līgums vēl nav noslēgts, šķietami secināms, ka pašlaik vēl nav pamatojuma vai pilnīgas pārliecības par potenciālo finansējuma piešķīrumu, finansējuma apmēru vai citām ar to saistītajām niansēm.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skaidrojumus par plānoto līguma noslēgšanu ar konkrētāku informāciju, piemēram, norādot, kad plānota līguma parakstīšana, to, vai plānotais finansējuma apmērs ir zināms jau pašlaik, pirms jaunā līguma noslēgšanas, u.c. informāciju nolūkā nodrošināt pilnīgi skaidru izpratni par to, ka jau šobrīd ir iespējama informatīvā ziņojuma un protokollēmuma virzīšana apstiprināšanai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finansējumu Latvijas</w:t>
            </w:r>
            <w:r w:rsidR="00000000" w:rsidRPr="00000000" w:rsidDel="00000000">
              <w:rPr>
                <w:i w:val="1"/>
                <w:rtl w:val="0"/>
              </w:rPr>
              <w:t xml:space="preserve"> ReferNet </w:t>
            </w:r>
            <w:r w:rsidR="00000000" w:rsidRPr="00000000" w:rsidDel="00000000">
              <w:rPr>
                <w:rtl w:val="0"/>
              </w:rPr>
              <w:t xml:space="preserve">tīkla darbībai 2025.-2027. gadā, Finanšu ministrijai palielināt ministrijas bāzes izdevumus 2025.-2027. gadā par 10 121 EUR ik gadu budžeta apakšprogrammā 70.11.00 “Dalība Eiropas Savienības izglītības sadarbības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protokollēmuma 4. punktu, ņemot vērā, ka atbilstoši juridiskās tehnikas prasībām saīsinājumus, ja tie nepieciešami, piesaka pirmajā vietā juridiskajā tekstā, kur lietots attiecīgais saīsinātais jēdziens vai termins. Tāpat pieteiktie saīsinājumi konsekventi lietojami tālāk dokumenta tekstā. Minētais attiecas uz konkrētajā punktā lietoto, nepieteikto saīsinājumu "ministrija", kas nenodrošina konkrētību.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23-TA-2747</w:t>
    </w:r>
    <w:r>
      <w:br/>
    </w:r>
    <w:r w:rsidR="00000000" w:rsidRPr="00000000" w:rsidDel="00000000">
      <w:rPr>
        <w:rtl w:val="0"/>
      </w:rPr>
      <w:t xml:space="preserve">Izdrukāts 23.11.2023.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23-TA-2747</w:t>
    </w:r>
    <w:r>
      <w:br/>
    </w:r>
    <w:r w:rsidR="00000000" w:rsidRPr="00000000" w:rsidDel="00000000">
      <w:rPr>
        <w:rtl w:val="0"/>
      </w:rPr>
      <w:t xml:space="preserve">Izdrukāts 23.11.2023.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Atzinumi_23-TA-2747.docx</dc:title>
</cp:coreProperties>
</file>

<file path=docProps/custom.xml><?xml version="1.0" encoding="utf-8"?>
<Properties xmlns="http://schemas.openxmlformats.org/officeDocument/2006/custom-properties" xmlns:vt="http://schemas.openxmlformats.org/officeDocument/2006/docPropsVTypes"/>
</file>