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Tieslietu ministrijas izstrādāto informatīvā ziņojuma projektu “Par Interešu pārstāvības atklātības likuma mērķa sasniegšanu un turpmāk iecerēto darbību” (ID 24-TA-681) (turpmāk – Projekts) un paužam būtiskus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novērtē, ka iepriekš paustais iebildums par interešu pārstāvja personas koda publicēšanu ir ņemts vērā, un personas kods un dzimšanas datums tiks izmantots vienīgi reģistrācijas vajadzībām, bet tas netiks publicēts. Tāpat arī atzinīgi vērtējam īsāka un vieglāk uztverama interešu pārstāvības jomu saraksta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to, ka būtu vērtējams, vai nebūtu pietiekami reģistrēt tikai uzņēmumu vai organizāciju, kurai tiktu piešķirts identifikācijas numurs, savukārt organizācijas vai uzņēmuma pārstāvjus norādīt vienīgi interešu pārstāvības deklarēšanas sistēmā, Projektā ir norādīts, ka likumdevēja noteikto kārtību varētu mainīt tikai ar Interešu pārstāvības atklātības likuma (turpmāk – Likuma) grozījumiem, vērtējot grozījumu nepieciešamību. LTRK atkārtoti uzsver, ka šis jautājums ir īpaši būtisks, lai novērstu milzīgu administratīvo slogu gan nevalstiskajām organizācijām un interešu pārstāvjiem, gan Uzņēmumu reģistram, gan publiskās varas pārstāvjiem. Aicinām Tieslietu ministriju Projektā vairāk uzsvērt šīs problēmas tvērumu, ņemot vērā LTRK jau iepriekš paustos apsvērumus vēstulē Nr. 2024/61, kas Tieslietu  ministrijai tika nosūtīta š.g. 26. janvārī, un Projektā paust aicinājumu veikt attiecīgos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2.3. punktā ir ietverts, ka būtu vērtējams jautājums par valsts nodevu par ieraksta izdarīšanu interešu pārstāvības reģistrā. LTRK kategoriski iebilst valsts nodevas ieviešanai, jo īpaši, ja netiktu grozīts Likums un būtu nepieciešams veikt ierakstus par katru organizācijas vai uzņēmuma pārstāvi. Kā Tieslietu ministrija Projektā jau ir norādījusi, Likums pieņemts nevis, lai ierobežotu, bet gan veicinātu pilsoniskās sabiedrības aktivitāti, tomēr valsts nodevas ieviešana radītu pretēju efektu. LTRK uzsver, ka jebkādas jaunas sistēmas izveide nedrīkst radīt negatīvu ietekmi uz līdz šim brīdim veiksmīgo nevalstiskā sektora saziņu ar valsts pārvaldi, kā arī mazināt sabiedrības iesaisti demokrātiskajos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