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pensijām"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veikt grozījumus likuma 32. pantā, lai nodrošinātu pensiju maksājumu izmaksu atbilstoši </w:t>
            </w:r>
            <w:r w:rsidR="00000000" w:rsidRPr="00000000" w:rsidDel="00000000">
              <w:rPr>
                <w:i w:val="1"/>
                <w:rtl w:val="0"/>
              </w:rPr>
              <w:t xml:space="preserve">Regulas (ES) Nr. 260/2012, ar ko nosaka tehniskās un darbības prasības kredīta pārvedumiem un tiešā debeta maksājumiem euro </w:t>
            </w:r>
            <w:r w:rsidR="00000000" w:rsidRPr="00000000" w:rsidDel="00000000">
              <w:rPr>
                <w:rtl w:val="0"/>
              </w:rPr>
              <w:t xml:space="preserve">(SEPA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32. panta pirmajā daļā noteikts, ka “[…]Valsts pensija pēc pensijas saņēmēja pieprasījuma pārskaitāma viņa Latvijas Republikas kredītiestādes vai pasta norēķinu sistēmas (PNS) kontā[…]”, kas ir pretrunā ar SEPA Regulas 9. pantā noteikto, ka maksātājs, kas veic kredīta pārvedumu maksājuma saņēmējam, kuram ir maksājumu konts Eiropas Savienībā, neprecizē to dalībvalsti, kurā minētajam maksājumu kontam ir jāatrodas.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08.07.2024.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08.07.2024.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Atzinumi_24-TA-269.docx</dc:title>
</cp:coreProperties>
</file>

<file path=docProps/custom.xml><?xml version="1.0" encoding="utf-8"?>
<Properties xmlns="http://schemas.openxmlformats.org/officeDocument/2006/custom-properties" xmlns:vt="http://schemas.openxmlformats.org/officeDocument/2006/docPropsVTypes"/>
</file>