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punktā minētajām grupām piemērojamie kvantitatīvie rādītāji un pieļaujamā svārstība noteikti šo noteikumu</w:t>
            </w:r>
            <w:r w:rsidR="00000000" w:rsidRPr="00000000" w:rsidDel="00000000">
              <w:rPr>
                <w:u w:val="single"/>
                <w:rtl w:val="0"/>
              </w:rPr>
              <w:t xml:space="preserve"> </w:t>
            </w:r>
            <w:r w:rsidR="00000000" w:rsidRPr="00000000" w:rsidDel="00000000">
              <w:rPr>
                <w:u w:val="single"/>
                <w:rtl w:val="0"/>
              </w:rPr>
              <w:t xml:space="preserve">3. </w:t>
            </w:r>
            <w:r w:rsidR="00000000" w:rsidRPr="00000000" w:rsidDel="00000000">
              <w:rPr>
                <w:u w:val="single"/>
                <w:rtl w:val="0"/>
              </w:rPr>
              <w:t xml:space="preserve">pielikumā</w:t>
            </w:r>
            <w:r w:rsidR="00000000" w:rsidRPr="00000000" w:rsidDel="00000000">
              <w:rPr>
                <w:rtl w:val="0"/>
              </w:rPr>
              <w:t xml:space="preserve"> un tos, ievērojot šajos noteikumos noteikto, piemēro, lai noteiktu valsts finansējuma apmēru izglītības iestādē nodarbināto pedagogu darba samaksai, kas aprēķināms atbilstoši normatīvajam aktam par valsts budžeta mērķdotāciju pedagogu darba samaksai pašvaldību vispārējās izglītības iestādēs un valsts augstskolu vispārējās vidējās izglītības iestādēs vai normatīvajam aktam par kārtību, kādā valsts finansē darba samaksu pedagogiem privātajās izglītības iestādēs (turpmāk – finansēšanas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(turpmāk – LTC vai biedrība) atzinīgi novērtē IZM precizēto noteikumu projekta 3. pielikumu “Kvantitatīvie rādītāji izglītības iestādes klašu grupām un pieļaujamā izglītojamo skaita svārstība no noteiktā kvantitatīvā rādītāja klašu grupā”, tālmācības izglītības iestādēm (15. grupa) piemērojot tās pašas izglītojamo skaita svārstību prasības kā citām izglītības iestāžu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turpina uzturēt iepriekšējā atzinumā izteiktos iebildumus pret šo noteikumu projekta 3. pielikumā ietvertajiem kvantitatīvajiem rādītājiem tālmācības izglītības programmām (vairāk skat. LTC iepriekšējā atzinuma 1. iebildumu: https://tapportals.mk.gov.lv/reviews/resolutions/5c802421-96ac-4a3f-bedc-4ec056f810c8).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26-TA-193 apstrādes informācijas 13. punktā dotajam IZM pamatojumam par iepriekšējā LTC iebilduma neņemšanu vērā biedrība kopumā nevar piekrist. Jā, tālmācībā nav tādu klašu komplektēšanas un fiziskās infrastruktūras ierobežojumu kā klātienes izglītības iestādēm. Taču tas nebūt nenozīmē, ka tālmācībā pedagogs vienlīdz kvalitatīvi var strādāt ar neierobežoti lielu klasi, īpaši laikā, kad izglītības kvalitātei tālmācībā tiek izvirzītas pastiprinātas prasības, tostarp Saeimā pieņemto Izglītības likuma grozījumu kontekstā. Nosakot tik lielus kvantitatīvos rādītājus tālmācības programmu klašu grupām (šobrīd plānotais – pēc normētās klases principa – 40 izglītojamie klasē, 120 klašu grupā), netiek ņemti vērā vairāki pedagoga darbu ietekmējoši aspekti, piemēram, lielais pedagoga darba apjoms un darba intensitāte, jo tālmācības programmās ir jāīsteno tie paši valsts izglītības standarti un izglītojamiem jākārto tie paši valsts pārbaudījumi kā klātienes izglītības programmas apguvušajiem izglītojamiem, tikai – ar krietni mazāku izglītības programmā paredzēto stundu skaitu, un vienlaikus – prognozējamais valsts budžeta mērķdotācijas samazinājums pedagogu darba samaksai, kā arī reālais izglītojamo skaits un vidējais klašu piepildījums, kas, balstoties uz tālmācības skolu sniegto informāciju, pamatizglītības pakāpē, īpaši 1.-3. un 4.-6. klašu grupā, nereti arī 7.-9. klašu grupā šobrīd nebūt nav 40 skolēni, bet gan ievērojami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atkārtoti aicina (arī attiecībā uz saistīto noteikumu projektu par kārtību, kādā aprēķina un sadala valsts budžeta mērķdotāciju pedagogu darba samaksai pašvaldību vispārējās izglītības iestādēs un valsts augstskolu vispārējās vidējās izglītības iestādēs” (24-TA-164)) ņemt vērā reālo situāciju un samazināt kvantitatīvos rādītājus tālmācības programmām vismaz pamatizglītības pakāpē, nosakot, ka  pamatizglītībā vidēji vienā klasē ir 20 izglītojamie (1.-6. klase) vai 30 izglītojamie (7.-9. klase), vispārējā vidējā izglītībā (10.-12. klase) – vidēji 40 izglītojamie vienā klasē, papildus ņemot vērā pieļaujamo izglītojamo skaita svārstību un attiecībā uz 15. grupu precizējot šo noteikumu 3. tabulu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Svārstību pieļaujamība, 15.grupa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klašu grupa: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klašu grupa: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klašu grupa: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grupa: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