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tiesību akta projekta tālāku virzību, tomēr lūdzam ņemt vērā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ņemt vērā gadījumus, kad iepirkumā konkurence nepastāv objektīvu iemeslu dēļ (nav konkurences tehnisku iemeslu dēļ vai nepieciešams ievērot izņēmuma tiesību, tai skaitā intelektuālā īpašuma tiesību, aizsardzību), līdz ar ko attiecīgos programmatūras pakalpojumus var sniegt tikai attiecīgās programmatūras izstrādātājs. Šādā gadījumā tiktu piemērota Publisko iepirkumu likumā noteiktā sarunu procedūra ar konkrētu piegādātāju, kur pēc būtības konkurences iespējas nemaz nepastāv. Šādu darījumu veikšanas ierobežojums e‑katalogā atgriezīs pasūtītājus pie neefektīvas un formālas procedūru īstenošanas, kam tiks patērēts nesamērīgi ilgāks laiks un cilvēkresursi līdz iepirkuma līguma noslēgšanai. Tāpat vēlamies atzīmēt, ka konkrētas tehnoloģijas un pamatotas alternatīvas vai aizstājēja izvērtējums tiek veikts tirgus izpētes ietvaros pirms konkrētā iepirkuma iekļaušanas iepirkumu plānā vai vēlākais līdz pirkuma pieprasījuma iniciēšanai e‑katalogā un tas tiek norādīts atliktā groza pamatojumā (esošās situācijas apraksts un skaidrojums, kas pamatoto konkrētā piegādātāja piedāvātā pakalpojuma iegādes nepieciešamību, saimniecisko izdevīgumu vai izņēmuma tiesības). Ņemot vērā minēto, ministrijas ieskatā uz šādu iepirkumu darījumiem e-katalogā nebūtu jāattiecina tiesību akta projektā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minētā norma noteiktajos gadījumos maina iepirkuma veikšanas veidu (jāpiemēro iepirkuma procedūra, kas prasa vidēji 6 mēnešus). Lai pasūtītāji varētu īstenot iepirkumu plānā iekļautos iepirkumus plānotajā termiņā, iesakām noteikt pārejas noteikumus attiecībā uz grozījumu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Voloha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