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tās kopējais Latvijā reģistrēto biedru un to biedru  apgrozījums pēdējā noslēgtajā pārskata gadā pārsniedz 150 miljonus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skaidrot, kāpēc tika izvēlēts projekta iesniedzējam noteiktais minimālais apgrozījums pēdējā noslēgtajā pārskata gadā, t.i., 150 miljoni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saskaņā ar Valsts ieņēmumu dienesta administrēto nodokļu (nodevu) parādnieku datu 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iensieguma iesniegšanas dienā un precizētā projekta iesniegšanas dienā vai attiecībā uz kuriem ir noslēgts vienošanās līgums saskaņā ar iepriekšminētā likuma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nuzmanību, ka noteikumu projekta 22.5. apakšpunkts dublē noteikumu 7.2. apakšpunktā ietverto normatīvo regulējumu. Attiecīgi lūdzam izvērtēt, vai noteikumu projekta 22.5. apakšpunkts ir izteikts atbilstoši Ministru kabineta 2009. gada 3. februāra noteikumu Nr. 108 "Normatīvo aktu projektu sagatavošanas noteikumi"  3.2. un 3.3. apakšpunktam un neatbilstības gadījumā izdarīt atbilstošus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atzinumu (projekta saskaņojumu) nepieciešams saņemt no Datu valsts inspekcijas, ja projekts skar personas datu apstrādes jautājumus, tostarp personas datu apstrādi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28.11.2023.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