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projektam paredzētajā teritorijā šobrīd notiek aktīva zvejniecība. Projekta īstenošana var būtiski samazināt zvejniecībai nozīmīgas teritorijas. Lūdzam paredzēt kompensāciju pasākumus arī šādiem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kā arī tiek zaudētas zvejniecībai nozīmīgas zvejas teritorijas, Attīstītājs īsteno  kompensācijas pasākumu programmu ELWIND projekta atkrastes vēja parka teritorijai, un pārvades sistēmas operators īsteno  kompensācijas pasākumu programmu Ceturtajā starpsavienojuma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Rutkovska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septiņu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atbildes sniegšanas termiņš ir ļoti īss, kas, ņemot vērā ierobežoto ekspertu skaitu un lielo noslodzi, atsevišķām institūcijām vai organizācijām var sagādāt problēmas. Lūdzam par atbildes sniegšanas termiņu noteikt 15 darbdienas.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15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Rutkovska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informāciju par ELWIND projekta un ceturtā starpsavienojuma īstenošanas iespējamo ietekmi uz zvejniecību. Atbilstoši Jūras plānojumā 2030 noteiktajam, lai samazinātu vēju parku ierīkošanas jūrā konfliktus ar citu nozaru interesēm un esošajiem izmantošanas veidiem, jāņem vērā, ka teritorijās, kur tiek ierīkotas VES, tiek ierobežota zivsaimniecība, tādēļ, nosakot piemērotāko vietu, nepieciešams ņemt vērā arī šīs nozares intereses, pēc iespējas izslēdzot teritorijas, kas nodrošina nozīmīgus zivju nozvejas apjomus. Ja telpiski par abpusēji izdevīgu risinājumu nav iespējams vienoties, nepieciešams izvērtēt un pielietot esošo praksi kompensāciju izmaksāšanā.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Rutkovska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05.04.2024.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05.04.2024.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