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DRN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22. pantu, jo tajā nav norādīts, kurā Dabas resursu nodokļa likuma pantā tiek veikti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3. panta pirmās daļas 2. punkta “e” apakšpunkts, 4. panta pirmās daļas 12. punkts, 6.1 panta pirmās daļas 4. punkts, 9.1 un 26.1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9.1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7. punktā, 4. panta pirmās daļas 11. punktā, 9. panta divpadsmitajā daļā, 23. panta septītajā daļā, 27. panta 5.1 un 5.2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1.2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6.1 panta astotajā daļā, 8. panta otrās daļas 13. punktā,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1.pielikumā, kas paredz noteikt nodokļa likmi par ogļūdeņražu ieguvi, stāsies spēkā vienlaikus ar grozījumiem likumā “Par zemes dzīlēm” , kas paredz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Pārejas noteikumu daļā ietvertā Dabas resursu nodokļa likuma pārejas noteikumu 43. punkta izriet, ka projektā ietvertais regulējums par tekstilizstrādājumiem stāsies spēkā 2024. gada 1. jūlijā. Atkārtoti vēršam uzmanību uz to, ka projekta 1. pants paredz papildināt Dabas resursu nodokļa likuma 1. pantu ar jaunu 16. punktu, kurā ietverts termina "tekstilizstrādājums" skaidrojums, taču šai normai nav paredzēta vienlaicīga stāšanās spēkā ar pārējo regulējumu, kas saistīts ar tekstilizstrādājumiem. Dabas resursu nodokļa likuma spēkā esošajā redakcijā nav lietots termins "tekstilizstrādājums". Normatīvajā aktā tiek ietverts termina skaidrojums, ja šis termins normatīvajā aktā tiek lietots. Tādējādi gan termina skaidrojumam, gan normām, kurās lietots konkrētais termins, jāstājas spēkā vienlaicīgi. Ievērojot minēto, aicinām papildināt projekta Pārejas noteikumu daļā ietverto Dabas resursu nodokļa likuma pārejas noteikumu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11.08.2023.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11.08.2023.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