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spēkā stāšanās termiņu anotācijas 1.2.sadaļā ar pašā likumprojektā norādīto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norādi, ka likumprojektā norādītās izmaiņas nerada ietekmi uz valsts budžeta izdevumiem un plānotie pasākumi tiks nodrošināti likumprojekta īstenošanā iesaistīto iestāžu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05.12.2024.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05.12.2024.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