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(Veselības aprūpes finansēšanas likuma 11. panta otrā daļa) izsaka tiešu atsauci uz </w:t>
            </w:r>
            <w:r w:rsidR="00000000" w:rsidRPr="00000000" w:rsidDel="00000000">
              <w:rPr>
                <w:i w:val="1"/>
                <w:rtl w:val="0"/>
              </w:rPr>
              <w:t xml:space="preserve">Eiropas Parlamenta un Padomes 2004. gada 29. aprīļa regulu (EK) Nr. 883/2004 par sociālās nodrošināšanas sistēmas koordinēšanu</w:t>
            </w:r>
            <w:r w:rsidR="00000000" w:rsidRPr="00000000" w:rsidDel="00000000">
              <w:rPr>
                <w:rtl w:val="0"/>
              </w:rPr>
              <w:t xml:space="preserve">. Skaidrojam, ka, lai gan regulas saskaņā ar Līguma par Eiropas Savienības darbību 288.panta otro daļu ir vispārpiemērojamas, tās uzliek saistības kopumā un ir tieši piemērojamas visās dalībvalstīs, aicinām to prasību ievērošana un nacionālo tiesību aktu sasaisti atspoguļot anotācijas 5.4. sadaļas 1. tabulā. Minētās tabulas mērķis ir parādīt, kā nacionālais tiesību akts atbilst attiecīgajam Eiropas Savienības tiesību aktam un nodrošina tā prasību izpildi.  Kā arī, ja tiesību akts ietver tiešas atsauces uz regulas normām un to vienībām, tas pēc būtības uzskatāms par regulu prasību ieviešana, jo tādējādi tiek nodrošināta regulas prasību praktiskā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13.10.2025.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13.10.2025.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