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Ķemeru nacionālā parka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Valdības rīcības plānā (pielikumā) starp visām tautsimniecībai nozīmīgajām sadaļām trūkst deklarācijas sadaļa un rīcības (jomas), kas attiektos uz vidi un dabas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Kategoriski noraidāms apgalvojums, kas izteikts Rīcības plāna pasākumos 188. punktā: "1) Īstenot pasākumus administratīvā sloga mazināšanai  mežsaimniecībā, </w:t>
            </w:r>
            <w:r w:rsidR="00000000" w:rsidRPr="00000000" w:rsidDel="00000000">
              <w:rPr>
                <w:u w:val="single"/>
                <w:rtl w:val="0"/>
              </w:rPr>
              <w:t xml:space="preserve">kā arī iestāties pret Zaļā kursa nesamērīgajām prasībām Eiropas Savienības regulējumā</w:t>
            </w:r>
            <w:r w:rsidR="00000000" w:rsidRPr="00000000" w:rsidDel="00000000">
              <w:rPr>
                <w:rtl w:val="0"/>
              </w:rPr>
              <w:t xml:space="preserve">, kuras bremzē Latvijas mežsaimniecības attīstību un samazina uzņēmumu konkurētspēju pasaules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Zaļā kursa prasības nekādā gadījumā nav uzskatāmas par nesamērīgām. Tās ir pamatotas un pildāmas dalībvalstīm, lai arī prasa papildus darbu un finansu ieguldījumus, jo mums un mūsu pēcnācējiem nākotnē jābūt iespējai dzīvot veselīgas (atjaunotas) dabas apstēkļos.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minēto rīcības plāna pasākumu vai pamatot administratīvā sloga mazināšanu  mežsaimniecībā ar reālu, vides un dabas aizsardzībai ne-pretnostatītu argumentāciju.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Liepa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29.06.2026. 19.37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29.06.2026. 19.37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