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14. maija noteikumos Nr. 289 "Noteikumi par valsts metroloģiskajai kontrolei pakļauto mērīšanas līdzekļu sarakstu"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pielikuma 1.5. apakšpunktam vidējā braukšanas ātruma mērīšanas sistēmām šobrīd verificēšanas periodiskums ir noteikts  ne retāk kā reizi gadā. Šāds verificēšanas periodiskums ir uzskatāms par nevajadzīgi biežu, jo iekārtas ir aprīkotas ar pašdiagnostiku, kā arī iekārtu dabīgā novecošanās neietekmē mērījumu precizitāti, jo mērījums faktiski tiek veikts posma izbraukšanas laikam, nevis ātrumam, un kameru laiki tiek nepārtraukti sinhronizēti ar precīza laika avotiem. Papildus norādām, ka vidējā braukšanas ātruma mērīšanas sistēmām ir pavisam cits darbības princips, kas ir būtiski atšķirīgs no pārējām braukšanas ātruma kontroles mērierīcēm (stacionārie un pārvietojamie fotoradari, “rokas” ātruma mērītāji, policijas auto iebūvētie radari), kā arī būtiski atšķiras to verificēšanas metodika.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Informācijai - viena vidējā ātruma kontroles posma verificēšana VSIA " Latvijas Valsts ceļi" šobrīd izmaksā ~1500 eur gadā (neieskaitot PVN). Tā kā pašlaik darbībā ir 16 posmi un tuvākajos 2 gados plānoti vēl 34 posmi, tad visu šo posmu verificēšana katru gadu VSIA "Latvijas Valsts ceļi" izmaksās ~75 000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atdalīt transportlīdzekļu braukšanas ātruma kontroles mērierīces no vidējā braukšanas ātruma mērīšanas sistēmām un atkārtotas verificēšanas periodiskums vidējā braukšanas ātruma mērīšanas sistēmām lūdzam noteikt reizi trijos gados.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1.5.transportlīdzekļu braukšanas ātruma kontroles mērierīces reizi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1.6.vidējā braukšanas ātruma mērīšanas sistēmām reizi trijos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Lācberga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25.10.2024. 10.17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25.10.2024. 10.17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Atzinumi_24-TA-1416.docx</dc:title>
</cp:coreProperties>
</file>

<file path=docProps/custom.xml><?xml version="1.0" encoding="utf-8"?>
<Properties xmlns="http://schemas.openxmlformats.org/officeDocument/2006/custom-properties" xmlns:vt="http://schemas.openxmlformats.org/officeDocument/2006/docPropsVTypes"/>
</file>