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23-TA-912: Rīkojuma projekts (Apstiprināšana, iecelšana amatā, speciālās dienesta pakāpes piešķiršana)</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Viestura Zepa atbrīvošanu no Rīgas brīvostas valdes locekļa amata un Edgara Štelmahera iecelšanu Rīgas brīvostas valdes locekļa amatā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dzīves gaitas apraksts (CV) 1.0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tiek norādīts, ka </w:t>
            </w:r>
            <w:r w:rsidR="00000000" w:rsidRPr="00000000" w:rsidDel="00000000">
              <w:rPr>
                <w:i w:val="1"/>
                <w:rtl w:val="0"/>
              </w:rPr>
              <w:t xml:space="preserve">Ministru kabineta 2020. gada 28. janvāra noteikumu Nr. 61 "Rīgas brīvostas pārvaldes nolikums" 14. punkts paredz termiņu, uz kuru personas ieceļamas valdes locekļa - uz pieciem gadiem, taču minētais regulējums neparedz ierobežojumu, ka jauns vides aizsardzības un reģionālās attīstības ministra virzīts pārstāvis ieceļams Rīgas brīvostas valdes locekļa amatā tikai pēc tam, kad iepriekšējam ir izbeidzies pilnvaru termiņš. Līdz ar to nepastāv ierobežojumu atbrīvot no amata Rīgas ostas valdē iecelto pārstāvi un iecelt šajā amatā jaunu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anotācijā ietverto informāciju, iesakām pilnveidot tiesisko regulējumu ostas valžu locekļu iecelšanā, lai būtu nepārprotami skaidrs, ka personas ieceļ un atceļ no valdes locekļa amata neatkarīgi no amatā pavadītā laika.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sagatavots saskaņā ar Rīgas brīvostas likuma 6. panta pirmo daļu, kas noteic, ka ostas pārvaldes augstākā lēmējinstitūcija ir Ostas valde, un tās locekļus amatā ieceļ un no amata atbrīvo "Likuma par ostām" 8.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 gada 10. februārī pieņemto likumu "Grozījumi Likumā par ostām" tika izslēgts 8. pants. Likumprojekta "Grozījumi Likumā par ostām" sākotnējās ietekmes novērtējuma ziņojumā (anotācijā) norādīts, ka, kapitālsabiedrības struktūru un pārvaldību regulē Publiskas personas kapitāla daļu un kapitālsabiedrību pārvaldības likums, tādēļ no Likuma par ostām tiek izslēgts 8. un 9. pants, kas līdz šim ietvēra regulējumu par ostas pārvaldības struktūru un ierobežojumiem valdes locekļiem ostās un nepieciešamību Ministru kabinetam izdot Rīgas ostas un Ventspils ostas nolikumus.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lūdzam precizēt rindkopu attiecībā uz to, ka nav attiecīga regulējuma, tādēļ jāpiemēro juridiskās obstrukcijas aizlieguma princips. Tieslietu ministrijas ieskatā, šajā gadījumā būtu piemērojams Publiskas personas kapitāla daļu un kapitālsabiedrību pārvaldības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23-TA-912</w:t>
    </w:r>
    <w:r>
      <w:br/>
    </w:r>
    <w:r w:rsidR="00000000" w:rsidRPr="00000000" w:rsidDel="00000000">
      <w:rPr>
        <w:rtl w:val="0"/>
      </w:rPr>
      <w:t xml:space="preserve">Izdrukāts 15.05.2023.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23-TA-912</w:t>
    </w:r>
    <w:r>
      <w:br/>
    </w:r>
    <w:r w:rsidR="00000000" w:rsidRPr="00000000" w:rsidDel="00000000">
      <w:rPr>
        <w:rtl w:val="0"/>
      </w:rPr>
      <w:t xml:space="preserve">Izdrukāts 15.05.2023.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Atzinumi_23-TA-912.docx</dc:title>
</cp:coreProperties>
</file>

<file path=docProps/custom.xml><?xml version="1.0" encoding="utf-8"?>
<Properties xmlns="http://schemas.openxmlformats.org/officeDocument/2006/custom-properties" xmlns:vt="http://schemas.openxmlformats.org/officeDocument/2006/docPropsVTypes"/>
</file>