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6.1.1.7. pasākuma “Eiropas Savienība nozīmes biotopu vai purvu ekosistēmu atjaunošana ”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īstenošanai plānotais un pieejamais kopējais attiecināmais finansējums ir vismaz 7 058 825 euro, tai skaitā TPF finansējums – 6 000 000 euro un nacionālais līdzfinansējums, ko veido privātais un valsts budžeta līdzfinansējums, – vismaz 1 058 825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noteikumu projekta 8.punktā un anotācijā norādīto informāciju par investīcijas ietvaros plānoto līdzfinansējuma avotu, t.sk. norādot precīzu privātā finansējuma apmēru, ja tāds tiek plānots. Vēršam uzmanību, ka informācija ir savstarpēji pretrunīga, jo no anotācijas izriet, ka nepieciešamo līdzfinansējumu 1 058 825 EUR apmērā plānots nodrošināt no valsts budžeta līdzekļiem, turklāt anotācijas 1.3. sadaļā un 3.sadaļā norādīts, ka projekta ietvaros privātais līdzfinansējums paredzēts tikai kā papildu finansējuma avots gadījumos, ja tiek pārsniegta Taisnīgā pārkārtošanās fonda  un valsts budžeta līdzfinansējuma attiecināmā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netiek pārsniegta 85% Taisnīgā pārkārtošanās fonda  atbalsta intensitāte, lūdzam precizēt noteikumu projekta 8.punktā norādīto pasākuma kopējo pieejamo finansējumu uz 7 058 824 EUR un nacionālo līdzfinansējumu uz 1 058 824 EUR. Atbilstošus precizējumus lūdzam nodrošināt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projekta īstenotājs/finansējuma saņēmējs ir kapitālsabiedrība, lūdzam anotācijas 1.3.sadaļu papildināt ar informāciju, kāpēc pasākuma ietvaros nacionālais līdzfinansējums jānodrošina no valsts budžeta līdzekļiem nevis no kapitālsabiedrības līdzekļiem, norādot plašāku skaidrojumu nekā tikai valsts pārvaldes deleģēto funkciju īstenošana un valsts pārvaldes uzdevumu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iesaistās projekta īstenošanā ar saviem resursiem, tai skaitā ar tā īpašumā, valdījumā, turējumā vai lietojumā esošo nekustamo īpašumu vai finansējumu, kā arī nodrošina projekta ietvaros sadarbības partnera izveidotās infrastruktūras un atjaunoto teritoriju uzturēšanu visā projekta dzīves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punktos 15.2., 30.6., 30.9., 30.11. un 33. ir lietots jēdziens "projekta dzīves laiks". Anotācijā minēts "projekta dzīves cikls", bet nav konkrēti norādīts, cik tas ir laika izteiksmē (gados). Lūdzam salāgot terminoloģiju MKN un anotācijā un precīzi norādīt, kāds (gados) ir projekta dzīves cikls.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atbilstoši sadarbības iestādes izstrādātajiem metodiskajiem norādījumiem veic izmaksu un ieguvumu analīzi. Ja projektā plānoti ieņēmumi, tie nepārsniedz 50 procentus no infrastruktūras un atjaunoto teritoriju uzturēšanas izdevumiem.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izpratni, ka projekta iesniedzējam ir pienākums ievērot, ka ieņēmumi projekta dzīves laikā ikgadēji nepārsniedz 50 procentus no izdevumiem, lūdzam precizēt noteikumu projekta 17.punktu. Atbilstoši aicinām precizēt arī anotācijā ietverto skaidrojumu par ikgadējo nosacījuma ievērošanu, vienlaikus papildinot sniegto skaidrojumu arī ar informāciju par to, kā no atbalsta sniedzēju puses tiks īstenota šī nosacījuma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Tiešās attiecināmās izmaksas ietver šādas izmaksu pozīcijas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 Vēršam uzmanību, ka arī vienkāršoto izmaksu izvērtējumā “Vienkāršoto izmaksu piemērošanas iespējas 2021.-2027. gada ES fondu plānošanas periodā” 6.1.1.7.pasākums norādīts kā viens no tiem, kam  vienkāršoto izmaksu piemērošana ir ar augstāku praktisko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autoruzraudzības un būvdarbu būvuzraudzības izmaksas, ja to veikšanu nosaka būvniecības jomu regulējošie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22.2.apakšpunktu ar nosacījumu, ka izmaksas nepārsniedz 10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attiecināmības nosacījumiem Eiropas Savienības kohēzijas politikas programmas 2021.-2027.gada plānošanas periodā projekta iesnieguma pamatojošās dokumentācijas sagatavošanas izmaksas, būvuzraudzības, autoruzraudzības, būvprojekta tehniskā projekta vai skiču projekta stadijā izmaksas, energosertifikācijas un energoaudita izmaksas kopā ir attiecināmas līdz 10 procentiem no projekta kopējām attiecināmajām izmaksām, ja tas ir noteikts Ministru kabineta noteikumos par specifiskā atbalsta mērķa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darba vietas aprīkojuma iegādes izmaksas jaunu darba vietu radīšanai vai esošo darba vietu atjaunošanai, uzturēšanai un remontam ne vairāk kā 3000 euro apmērā vienai darba vietai visā projekta īstenošanas laikā personālam, kas projektā ir nodarbināts vismaz 30 procentus darba laika,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22.12.apakšpunktu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aprīkojuma iegādes izmaksas jaunu darba vietu radīšana vai gadījumos, ja esošo darba vietu aprīkojums ir nolietojies un tiek norakstīts, uzturēšanai un remontam ne vairāk kā 3000 euro apmērā vienai darba vietai visā projekta īstenošanas laikā personālam, kas projektā ir nodarbināts vismaz 30 procentus darba laika,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izstrādā nosacījumus, kā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un sadarbības partneris paraksta apliecinājumu par interešu konflikta neesamību, lai tiktu ievērotas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30.8. apakšpunktu ar prasību, ka finansējuma saņēmējs un sadarbības partneris izstrādā nosacījumus, kā pārliecinās arī par krāpšanas un korupcijas risku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izstrādā nosacījumus, kā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neesamību, lai tiktu ievērotas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nodrošina horizontālo principu “Nenodarīt būtisku kaitējumu”, “Klimatdrošināšana”, un “Vienlīdzība, iekļaušana, nediskriminācija un pamattiesību ievērošana” ievērošanu, datu uzkrāšanu un to ievadi Kohēzijas politikas fondu vienotās informācijas sistēmā projekta īstenošanas un pēcuzraudzības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nav noteikta prasība uzkrāt informāciju par horizontālo principu īstenošanu pēcuzraudzības periodā, tāpat lūdzam redakcionāli precizēt sistēmas nosaukumu un iekļaut konkrētu horizontālā principa “Vienlīdzība, iekļaušana, nediskriminācija un pamattiesību ievērošana” rādītāju, par kuru būtu uzrkājami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nodrošina horizontālo principu “Nenodarīt būtisku kaitējumu”, “Klimatdrošināšana”, un “Vienlīdzība, iekļaušana, nediskriminācija un pamattiesību ievērošana” ievērošanu un </w:t>
            </w:r>
            <w:r w:rsidR="00000000" w:rsidRPr="00000000" w:rsidDel="00000000">
              <w:rPr>
                <w:b w:val="1"/>
                <w:rtl w:val="0"/>
              </w:rPr>
              <w:t xml:space="preserve">par horizontālā principa “Vienlīdzība, iekļaušana, nediskriminācija un pamattiesību ievērošana” rādītāja "</w:t>
            </w:r>
            <w:r w:rsidR="00000000" w:rsidRPr="00000000" w:rsidDel="00000000">
              <w:rPr>
                <w:b w:val="1"/>
                <w:i w:val="1"/>
                <w:rtl w:val="0"/>
              </w:rPr>
              <w:t xml:space="preserve">norādīt konkrētu rādītāju" </w:t>
            </w:r>
            <w:r w:rsidR="00000000" w:rsidRPr="00000000" w:rsidDel="00000000">
              <w:rPr>
                <w:b w:val="1"/>
                <w:rtl w:val="0"/>
              </w:rPr>
              <w:t xml:space="preserve">sasniegtajām vērtībām</w:t>
            </w:r>
            <w:r w:rsidR="00000000" w:rsidRPr="00000000" w:rsidDel="00000000">
              <w:rPr>
                <w:b w:val="1"/>
                <w:i w:val="1"/>
                <w:rtl w:val="0"/>
              </w:rPr>
              <w:t xml:space="preserve"> </w:t>
            </w:r>
            <w:r w:rsidR="00000000" w:rsidRPr="00000000" w:rsidDel="00000000">
              <w:rPr>
                <w:rtl w:val="0"/>
              </w:rPr>
              <w:t xml:space="preserve">datu uzkrāšanu un ievadi Kohēzijas politikas fondu </w:t>
            </w:r>
            <w:r w:rsidR="00000000" w:rsidRPr="00000000" w:rsidDel="00000000">
              <w:rPr>
                <w:b w:val="1"/>
                <w:rtl w:val="0"/>
              </w:rPr>
              <w:t xml:space="preserve">vadības</w:t>
            </w:r>
            <w:r w:rsidR="00000000" w:rsidRPr="00000000" w:rsidDel="00000000">
              <w:rPr>
                <w:rtl w:val="0"/>
              </w:rPr>
              <w:t xml:space="preserve">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līguma par projekta īstenošanu noslēgšanas atbildīgā iestāde, pamatojoties uz finansējuma saņēmēja rakstisku avansa pieprasījumu, atbilstoši normatīvajiem aktiem par valsts budžeta līdzekļu plānošanas kārtību Eiropas Savienības fondu projektu īstenošanai un maksājumu veikšanai 2021. – 2027. gada plānošanas periodā nodrošina finansējuma saņēmējam avansa maksājumus, kurus var izmaksāt vairākos maksājumos, ievērojot, ka avansa un starpposma maksājumu kopsumma nepārsniedz 100 procentus no projektam piešķirtā TPF finansējuma un valsts budžeta finansējuma kopsummas.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izvērstu skaidrojumu, pamatojot avansa un starpposma maksājuma kopsummas 100% apmēra nepieciešamību. Vēršam uzmanību, ka saskaņā ar Ministru kabineta 2023. gada 25. aprīļa noteikumu Nr. 205 “Valsts budžeta līdzekļu plānošanas kārtība Eiropas Savienības fondu projektu īstenošanai un maksājumu veikšanai 2021.–2027. gada plānošanas periodā” (turpmāk - Budžeta noteikumi) 17. punktu avansa un starpposma maksājuma kopsumma var būt 100 % no projektam piešķirtā Eiropas Savienības fonda finansējuma, ja finansējuma saņēmējs ir valsts kapitālsabiedrība, kura projekta ietvaros avansa un starpposma maksājumu kopsummu izmanto tai deleģētā valsts pārvaldes uzdevuma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31. punktu, vēršam uzmanību, ka saskaņā ar Budžeta noteikumu 9. un 10. punktu avansa maksājumus veic sadarbības iestāde, nevis atbildīgā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līguma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 – 2027. gada plānošanas periodā nodrošina finansējuma saņēmējam avansa maksājumus, kurus var izmaksāt vairākos maksājumos, ievērojot, ka avansa un starpposma maksājumu kopsumma nepārsniedz [x] procentus no projektam piešķirtā TPF finansējuma un valsts budžeta 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 informāciju, ka projekta īstenotājs un tā sadarbības partneri visā projekta dzīves cikla laikā nodrošina projekta rezultātu uzturēšanu un apsaimniekošanu, lūdzam anotācijas 1.3. sadaļu (nepieciešamības gadījumā arī anotācijas 3.sadaļu) papildināt ar informāciju, kādas ir plānotās projekta rezultātu uzturēšanas izmaksas un no kādiem resursiem projekta īstenotājs/finansējuma saņēmējs un sadarbības partneris plāno nodrošināt to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īstenotājs/finansējuma saņēmējs ir AS “Latvijas valsts meži”, kas ir kapitālsabiedrība, un sadarbības partneris ir Dabas aizsardzības pārvalde, kas ir valsts budžeta iestāde, lūdzam anotācijas 3.sadaļā norādīt pasākuma ietvaros plānoto valsts budžeta līdzekļu plānošanu un maksājumu veikšanu, norādot iesaistītās ministrijas un iestādes, ievērojot Ministru kabineta 2023. gada 25. aprīļa noteikumu Nr. 205 “Valsts budžeta līdzekļu plānošanas kārtība Eiropas Savienības fondu projektu īstenošanai un maksājumu veikšanai 2021.–2027. gada plānošanas periodā”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Taisnīgās pārkārtošanās fonda (turpmāk – TPF) projekta (turpmāk – projekts) iesniedzējam (turpmāk – projekta iesniedzējs), finansējuma saņēmējam un sadarbības partnerim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1.4.apakšpunktā vārdus un iekavas "(ja attiecināms)" ņemot vērā, ka no noteikumu projekta izriet, ka finansējuma saņēmējs sadarbības partnera statusā piesaista Dabas aizsardzības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1.4. apakšpunktā minētā fonda nosaukumu, ņemot vērā, ka saskaņā ar Eiropas Savienības fondus regulējošajiem normatīvajiem aktiem korekts fonda nosaukums ir "Taisnīgas pārkārtošanās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projekta vadība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20.6.apakšpunkta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precizējot, piemēram, šādi: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ar projekta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iesnieguma un īstenošanas pamatojošās dokumentācijas sagatavošanas izmaksas, kas tieši saistītas ar projektā plānotajām darbībām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22.1.apakšpunktu un anotāciju ar nosacījumu, ka izmaksas par projekta iesnieguma informācijas sagatavošanu un aizpildīšanu Kohēzijas politikas vadības un informācijas sistēmā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iesnieguma un īstenošanas pamatojošās dokumentācijas sagatavošanas izmaksas (izņemot projekta iesnieguma veidlapas aizpildīšanas izmaksas), kas tieši saistītas ar projektā plānotajām darbībām nepārsniedzot 10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informācijas un komunikācijas tehnoloģiju licenču iegāde vai to nomas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22.9. apakšpunktā norādītās izmaksas ir paredzētas projekta īstenošanas un vadības personālam. Vēršam uzmanību, ka saskaņā ar nosacījumiem vienkāršoto izmaksu izmantošanas iespējām un to piemērošanai Eiropas Savienības kohēzijas politikas programmas 2021.–2027.gadam ietvaros informācijas un komunikācijas tehnoloģiju uzturēšanas izmaksas (piemēram, nepieciešamās licences un programmatūras atjauninājumi) iekļaujamas projekta vadības un īstenošanas netiešajās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tiešās attiecināmās projekta vadības un īstenošanas personāla atlīdzības izmaksas, tai skaitā valsts sociālās apdrošināšanas obligātās iemaksas,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likme divdesmit procentu apmērā no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minētajām tiešajām attiecināmajām izmaksām, kas nav atlīdzības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likmes aprēķins vēl nav saskaņots ar Finanšu ministriju, šobrīd nevaram saskaņot noteikumu projekta 22.10 apakšpunktā norādīto projekta vadības un īstenošanas personāla likmes apmēru. Informējam, ka Finanšu ministrija komentāru par likmes aprēķinu un anotācijā iekļaujamo informāciju nosūtīs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anotācijā noteikto, lūdzam arī noteikumu projekta 22.10.apakšpunktā skaidri noteikt, ka personāla izmaksu likmes apmērs tiks piemērots gan finansējuma saņēmējam, gan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salāgotu terminoloģiju ar Eiropas Parlamenta un Padomes 2021.gada 24.jūnija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aicinām noteikumu projektā un anotācijā, kur attiecināms, aizstāt terminus - personāla atlīdzība/ personāla atlīdzības izmaksas ar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finansējuma saņēmēja un sadarbības partnera personāla darba braucienu un iekšzemes komandējumu un transporta pakalpojumu izmaksas (maksa par degvielu, sabiedriskā transporta izmantošana, viesnīcas izmaksas, dienas nauda), kurām piemēro metodiku par vienas vienības izmaksu standarta likmes aprēķināšanu un piemērošanu viena kilometra izmaksām un metodiku par iekšzemes komandējumu izmaksu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atsevišķos noteikumu projekta apakšpunktos darba braucienu un iekšzemes komandējumu izmaksas, kā arī transporta pakalpojumu izmaksas, skaidri nosakot, kādas izmaksas tiek paredzētas un kura Finanšu ministrijas metodika tiek piemērota. Lūdzam attiecīgi precizēt informāciju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Neparedzētie izdevumi nepārsniedz piecus procentus no projekta kopējām tiešajām attiecināmajām izmaksām. Neparedzēto izdevumu izlietošanu finansējuma saņēmējs saskaņo ar sadarbības iestādi, kā to nosaka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nosacījumiem attiecināmo izmaksu noteikšanai Eiropas Savienības kohēzijas politikas programmas 2021.-2027.gada plānošanas periodā katrai investīcijai neparedzēto izdevumu procentuālais apmērs ir jāizvērtē individuāli, atkarībā no tā, cik apjomīgus un sarežģītus projektus paredzēts īstenot attiecīgajā investīcijā, taču tas kopumā nedrīkst pārsniegt 5 % no kopējo tiešo attiecināmo izmaksu summas. Līdz ar to lūdzam anotācijā iekļaut pamatojumu, kāpēc konkrētajā pasākumā nosaka procentuālo neparedzēto izdevumu tieši tādā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noteikumu projekta 24.punktā vārdus “kā to nosaka vienošanās”, ņemot vērā, ka finansējuma saņēmējs saskaņo neparedzētos izdevumus brīvā formā un tas nav speciāli atrunāts līgumā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Neparedzētie izdevumi nepārsniedz piecus procentus no projekta kopējām tiešajām attiecināmajām izmaksām. Neparedzēto izdevumu izlietošanu finansējuma saņēmējs saskaņo ar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un uzraudzības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ka investīcijas plānots veikt Latvijas Republikas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nodrošina informācijas un publicitātes pasākumus, kas noteikti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un saskaņā 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fondu regulējošajos normatīvajos aktos un praksē lietoto jēdzienu "komunikācijas un vizuālās identitātes prasību nodrošināšanas nosacījumi", lūdzam atbilstoši precizēt noteikumu projekta 30.1. un 22.13.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sedz projekta izmaksu pieaugumu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30.3.apakšpunktu, ņemot vērā anotācijā norādīto, ka sadārdzinājumu uzņēmās segt AS “Latvijas valsts meži”. Vēršam uzmanību, ka noteikumu projekta 30.punkts nosaka, ka visi minētā noteikumu projekta punkta apakšpunkti  ir attiecināmi gan uz projekta iesniedzēju, gan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nodrošina, ka projektā plānotie darbi netiek finansēti vai līdzfinansēti, kā arī nav plānots tos finansēt vai līdzfinansēt no citiem valsts vai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īstenošanā nodrošināma ne tikai nepārklāšanās ar citiem finanšu instrumentiem, bet arī tas, lai darbība netiktu finansēta tā paša projekta īstenošanai piešķirtā finansējuma ietvaros dubultā. Ņemot vērā minēto, lūdzam papildināt noteikumu projekta 30.4. apakšpunktu, nosakot, ka finansējuma saņēmējs un sadarbības partneris nodrošina arī dubultā finansējuma neiestāšanos.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akciju sabiedrība  "Latvijas valsts meži" pildīs finansējuma saņēmēja funkcijas, un Vides aizsardzības un reģionālās attīstības ministrija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šādu precizējumu veikšanu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anotācijas 3.sadaļas 6.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6.punktā norādīto finansējuma sadalījumu pa gadiem, jo, saskaitot kopā šobrīd norādīto TPF finansējumu, kopsumma veidojas 5 999 998 euro apmērā nevis 6 000 000 euro apmērā, savukārt saskaitot kopā šobrīd norādīto valsts budžeta finansējumu kopsumma veidojas 1 058 827 euro apmērā nevis 1 058 825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aizpildīt anotācijas 3.sadaļas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3.sadaļā precizēt norādītos gadus, kā kārtējo gadu norādot 2024.gadu un atbilstoši tam precizējot arī norādīto finansējumu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6.sadaļu papildināt ar detalizētāku informāciju par attiecīgās nozares/ jomas pārstāvošu biedrību, nodibinājumu, nevalstisko organizāciju  iesaisti noteikumu projekta izstrādē, t.sk. ņemot vērā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6.1.1. specifiskā atbalsta mērķa “Pārejas uz klimatneitralitāti radīto ekonomisko, sociālo un vides seku mazināšana visvairāk skartajos reģionos” 6.1.1.7. pasākuma “Eiropas Savienība nozīmes biotopu vai purvu ekosistēmu atjaunošana ” projektu iesniegumu pirmās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projekta izmaksas paredzēts attiecināt pirms projekta apstiprināšanas, un finansējuma saņēmējs ir valsts budžeta iestāde,  MK sēdes protokollēmuma projektā ir nepieciešams noteikt finanšu plūsmas pirms projekta apstiprināšanas nodrošināšanas nosacījumus. Lūdzam izvērtēt un nepieciešamības gadījumā atbilstoši papildināt MK sēdes protokollēmumu, ņemot vērā, ka tiks piešķirts valsts budžeta līdzfinansējums, tai skaitā ņemot vērā no anotācijas izrietošo informāciju, ka tiks pieprasīts no valsts budžeta programmas 80.00.00 “Nesadalītais finansējums Eiropas Savienības politiku instrumentu un pārējās ārvalstu finanšu palīdzības līdzfinansēto projektu un pasākumu īstenošanai”, un saskaņā ar noteikumu projekta 16. punktu pasākuma ietvaros atbalsts tiek sniegts tikai valsts pārvaldes deleģēto funkciju īstenošanai un valsts pārvaldes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19.01.2024.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19.01.2024.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Atzinumi_23-TA-2824.docx</dc:title>
</cp:coreProperties>
</file>

<file path=docProps/custom.xml><?xml version="1.0" encoding="utf-8"?>
<Properties xmlns="http://schemas.openxmlformats.org/officeDocument/2006/custom-properties" xmlns:vt="http://schemas.openxmlformats.org/officeDocument/2006/docPropsVTypes"/>
</file>