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no organizācijas, Pārtikas un veterinārais dienests)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Sugu un biotopu aizsardzības likumā TA-2620 (2020.)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Izskatīt nepieciešamību papildināt projekta 13. panta (likuma 30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 panta) otro daļu ar vārdiem "bez kompetentās iestādes izsniegtas atļaujas, atļaujas nosacījumu neievērošanu" aiz vārdiem "citām personām", ņemot vērā projekta 12. panta (likuma 23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. panta) otrajā un trešajā daļā noteikto.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Līva Rudzīte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"Grozījumi Sugu un biotopu aizsardzības likumā" sākotnējās ietekmes izvērtējums (anotācija)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projekta sākotnējās ietekmes novērējuma ziņojuma (anotācijas) VII. sadaļu ar norādi, ka funkcijas tiks paplašinātas arī Valsts policijai, ievērojot likumprojekta 14. panta (likuma 31. panta) septītajā daļā noteikto.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Līva Rudzīte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14.02.2023.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14.02.2023.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