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anotācijas 1.3. sadaļu papildināt, ievērojot pēdējo uz saskaņošanu sūtīto projekta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nav saņemti šo noteikumu </w:t>
            </w:r>
            <w:r w:rsidR="00000000" w:rsidRPr="00000000" w:rsidDel="00000000">
              <w:rPr>
                <w:rtl w:val="0"/>
              </w:rPr>
              <w:t xml:space="preserve">20.</w:t>
            </w:r>
            <w:r w:rsidR="00000000" w:rsidRPr="00000000" w:rsidDel="00000000">
              <w:rPr>
                <w:rtl w:val="0"/>
              </w:rPr>
              <w:t xml:space="preserve">punktā minētie saskaņojumi un atļaujas, reklāmas objekts vai informācijas objekts tiek uzskatīts par patvaļīgi uzstādītu, un tā īpašniekam attiecīgais objekts jādemontē.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šajā projekta punktā paredzētā 21.punkta redakcija neatšķiras no spēkā esošās redakcijas, līdz ar ko rosinām to no projekta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08.05.2024.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08.05.2024.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