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nozīmes lidojumu Latvijas Republikas gaisa telpā saskaņošanas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Šajos noteikumos noteiktās primārās kompetentās institūcijas</w:t>
            </w:r>
            <w:r w:rsidR="00000000" w:rsidRPr="00000000" w:rsidDel="00000000">
              <w:rPr>
                <w:b w:val="1"/>
                <w:rtl w:val="0"/>
              </w:rPr>
              <w:t xml:space="preserve"> </w:t>
            </w:r>
            <w:r w:rsidR="00000000" w:rsidRPr="00000000" w:rsidDel="00000000">
              <w:rPr>
                <w:rtl w:val="0"/>
              </w:rPr>
              <w:t xml:space="preserve">var liegt, ierobežot vai atsaukt pārlidojuma atļauju valsts lidaparātam vai valsts lidojumiem,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izvērtēt un šo izvērtējumu atspoguļot anotācijā, vai šajā punktā ietvertie 4 apakšpunkti ir izsmeļoši, pretējā gadījumā noteikumi var būt rīcību ierobežojoši situācijās, kurās pārlidojuma atļauja būtu atsaucama, taču atsaukuma iemesls neatbilstu  nevienam no minētajiem punktiem. Anotācijā minēts, ka nepieciešams atsaukt atļaujas, ja tam ir objektīvs pamats, piemēram, ja: tiek sniegta maldinoša vai nepilnīga informācija par lidojuma mērķi, kravu vai pasažieriem; notiek būtiskas izmaiņas starptautiskajā drošības situācijā; tiek konstatēts apdraudējums valsts drošībai vai sabiedriskajai kārtībai, u.c. Proti, šie punkti ir tikai piemērs objektīvam pamatam, nevis izsmeļošs uzskaitījums.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Šajos noteikumos noteiktās primārās kompetentās institūcijas</w:t>
            </w:r>
            <w:r w:rsidR="00000000" w:rsidRPr="00000000" w:rsidDel="00000000">
              <w:rPr>
                <w:b w:val="1"/>
                <w:rtl w:val="0"/>
              </w:rPr>
              <w:t xml:space="preserve"> </w:t>
            </w:r>
            <w:r w:rsidR="00000000" w:rsidRPr="00000000" w:rsidDel="00000000">
              <w:rPr>
                <w:rtl w:val="0"/>
              </w:rPr>
              <w:t xml:space="preserve">var liegt, ierobežot vai atsaukt pārlidojuma atļauju valsts lidaparātam vai valsts lidojumiem,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šajā punktā ir teikts, ka šajos noteikumos ir noteiktas primārās kompetentās institūcijas, projektā nav ietverts nedz uzskaitījums, nedz paskaidrojums tam, kas ir šīs "primārās kompetentās institūcijas". Atšīfrējums šim terminam šobrīd ir tikai projekta anotācijā, kur paskaidrots, ka "šo noteikumu izpratnē primārās kompetentās institūcijas ir Ārlietu ministrija, Aizsardzības ministrija un VA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tajā ietverot paskaidrojumu, kas ir "primārās kompetentās institūcijas".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25-TA-1254</w:t>
    </w:r>
    <w:r>
      <w:br/>
    </w:r>
    <w:r w:rsidR="00000000" w:rsidRPr="00000000" w:rsidDel="00000000">
      <w:rPr>
        <w:rtl w:val="0"/>
      </w:rPr>
      <w:t xml:space="preserve">Izdrukāts 31.10.2025.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25-TA-1254</w:t>
    </w:r>
    <w:r>
      <w:br/>
    </w:r>
    <w:r w:rsidR="00000000" w:rsidRPr="00000000" w:rsidDel="00000000">
      <w:rPr>
        <w:rtl w:val="0"/>
      </w:rPr>
      <w:t xml:space="preserve">Izdrukāts 31.10.2025.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Atzinumi_25-TA-1254.docx</dc:title>
</cp:coreProperties>
</file>

<file path=docProps/custom.xml><?xml version="1.0" encoding="utf-8"?>
<Properties xmlns="http://schemas.openxmlformats.org/officeDocument/2006/custom-properties" xmlns:vt="http://schemas.openxmlformats.org/officeDocument/2006/docPropsVTypes"/>
</file>