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Ainavu politikas ieviešanas plāns 2024. - 2027.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20.12.2023.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20.12.2023.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