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Sabiedriskā Organizācija Kuršu Kopiena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Būvējot vēja ģeneratorus, to pamati tiek ierakti salīdzinoši dziļi zemē, kas var būtiski ietekmēt pazemes ūdeņu tecējumu un esošās meliorācijas sistēmas. Šī ietekme var kļūt īpaši nozīmīga, ja tiek plānots vēja parks ar daudziem ģeneratoriem. Tādēļ aicinām nodrošināt, lai, veicot šos grozījumus normatīvajā aktā, netiktu izveidota situācija, kurā vēja parku būvniecībai nav obligāti jāveic ietekmes uz vidi novērtējums attiecībā uz to ietekmi uz konkrēto pagastu meliorācijas sistēmām un pazemes ūdeņu plūsmu. Citādāk tiks sasniegts pretējais rezultāts kā norādīts šī likumprojekta anotācijā. Šāds vides izvērtējums ir būtisks, lai novērstu iespējamos riskus, tostarp teritoriju applūšanu un citus ar ūdens režīma izmaiņām saistītus negatīvus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Jaunskunga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