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infrastruktūras attīstība un energoefektivitātes uzlabošana sabiedriskajos pasažieru pārvadājumos"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Kohēzijas fonda finansējumu pasākuma ietvaros piešķir granta veidā. Maksimālais attiecināmais Kohēzijas fonda finansējuma apmērs ir ne lielāks par 85 % un valsts budžeta līdzfinansējuma apmērs ir ne mazāks par 15 %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6.punktā attiecībā uz valsts budžeta līdzfinansējuma īpatsvaru svītrot vārdus “ne mazāks par”, ņemot vērā, ka valsts budžeta līdzfinansējums nevar pārsniegt 15%.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projekta īstenošanā ir paredzēts piesaistīt arī projekta iesniedzēja privāto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nepieciešamību precizēt noteikumu projekta 1.3.apakšpunktu atbilstoši vadlīniju Nr. 1.4. “Vadlīnijas Ministru kabineta noteikumu par specifiskā atbalsta mērķa īstenošanu izstrādei Eiropas Savienības fondu 2021.—2027. gada plānošanas periodā” 2.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un pieejamais kopējais finansējums ir 118 659 229 euro, tai skaitā Kohēzijas fonda finansējums 100 860 345  euro un valsts budžeta līdzfinansējums – ne mazāks kā 17 798 884 euro,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un tā apakšpunktos norādītās Kohēzijas fonda (turpmāk – KF) finansējuma apmērs pārsniedz pieļaujamo 85% KF līdzfinansējuma likmes robežu. Ņemot vērā minēto, lūdzam precizēt 10.punktā un tā apakšpunktos norādīto 3.1.1.1.pasākuma 1.kārtai plānoto finansējuma apmēru, piemēram, palielinot nacionālā līdzfinansējuma likmi, lai nodrošinātu, ka KF līdzfinansējums nepārsniedz 85% no kopējām plānotajām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10.punktā un tā apakšpunktos attiecībā uz valsts budžeta līdzfinansējuma apmēru svītrot vārdus “ne mazāks kā”, ņemot vērā, ka arī valsts budžeta līdzfinansējuma apmēram ir jābūt noteiktam konkrētā apmērā, kas nav pārsniedzams. Attiecīgus precizējumus lūdzam veikt arī anotācijas 1.3.sadaļā “Pašreizējā situācija, problēmas un risinājumi” (turpmāk –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 projekta īstenošanai nepieciešamā nekustamā īpašuma iegādes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par to, ka noteikumu projekta15.10. apakšpunktā atbalstāmās darbības nedrīkst pārsniegt 10% no kopējiem attiecināmajiem izdevumiem, kā arī anotācijā norādīt pamatojumu šādu izmaksu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atbalstāmo darbību ietvaros radušās izmaksas var uzskatīt par attiecināmām finansēšanai no Kohēzijas fonda, ja tās atbilst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atbalstāmajām darbībām,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minētajām attiecināmajām izmaksām un atbilst šo noteikumu </w:t>
            </w:r>
            <w:r w:rsidR="00000000" w:rsidRPr="00000000" w:rsidDel="00000000">
              <w:rPr>
                <w:rtl w:val="0"/>
              </w:rPr>
              <w:t xml:space="preserve">15.11. </w:t>
            </w:r>
            <w:r w:rsidR="00000000" w:rsidRPr="00000000" w:rsidDel="00000000">
              <w:rPr>
                <w:rtl w:val="0"/>
              </w:rPr>
              <w:t xml:space="preserve">apakšpunktā</w:t>
            </w:r>
            <w:r w:rsidR="00000000" w:rsidRPr="00000000" w:rsidDel="00000000">
              <w:rPr>
                <w:rtl w:val="0"/>
              </w:rPr>
              <w:t xml:space="preserve"> ,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minētajiem izmaksu apjoma ierobežojumiem, un ir radušās ne agrāk kā 2021.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valsts budžeta iestāde un projektu izmaksas ir attiecināmas pirms līguma vai vienošanās noslēgšanas, lūdzam Ministru kabineta sēdes protokollēmuma projektu papildināt ar jaunu punktu, kas nosaka finanšu plūsmas pirms projekta apstiprināšanas nodrošināšanas nosacījumus, kā arī pienākumu un atbildību atbildīgajai iestādei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3.1.1.1.pasākums iekļauts Programmas 9.sadaļā “Plānoto stratēģiski svarīgo darbību saraksts un to plānotais laika grafiks”, lūdzam noteikumu projektā iekļaut informāciju par stratēģiski svarīgu projektu īstenošanu un anotācijā norādīt konkrētus plānotos stratēģiski svarīgos projektus. Gadījumā, ja stratēģiski svarīgi projekti tiks īstenoti 3.1.1.1.pasākuma 2.kārtas ietvaros, lūdzam šo informāciju atspoguļot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skaidrots, ka pasākuma īstenošanai paredzēts valsts budžeta līdzfinansējums, jo VAS “Latvijas dzelzceļš” attīstīs publisko dzelzceļa infrastruktūru, kas ir būtiska, lai nodrošinātu reģionālos pasažieru pārvadājumus pa dzelzceļu valsts pasūtījuma ietvaros, kā arī skaidrots, ka dzelzceļa infrastruktūras modernizācija  ir nepieciešama sabiedriskā transporta pakalpojumu sniegšanai, tādējādi tā ir tieši saistīta ar valsts politikas mērķu sasniegšanu transporta jomā, it īpaši attiecībā uz sabiedriskā transporta pieejamības, drošības un ilgtspējas nodrošināšanu. Minētais skaidrojums pirmšķietami pamato pasākuma ietvaros veicamās aktivitātes saistībā ar vilcienu kustības ātruma palielināšanu un dzelzceļa publiskās infrastruktūras (peronu) modernizāciju, vienlaikus tas nesniedz pārliecību, ka arī aktivitāte attiecībā uz dzelzceļa sakaru un informācijas sistēmām ir tieši saistīta ar pasažieru pārvadājumiem, attiecīgi lūdzam precizēt norādīto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aizpildīt ailes “Turpmākie trīs gadi” izmaiņas, salīdzinot ar vidēja termiņa budžeta ietvaru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aizpildīt 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 norādīto līdzekļu apjomu sadalījumu pa gadiem, ņemot vērā, ka 6. punktā saskaitot kopā norādīto summas, tās atšķiras no noteikumu projekta 10. punktā noteiktā.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iznākuma rādītājs “Jaunas vai modernizētas dzelzceļa stacijas un pieturas, kurās izbūvēti paaugstinātie  peroni” – 20 stacijas un pieturas;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4.punktā minētos rādītājus un to vērtības salāgot ar Eiropas Savienības kohēzijas politikas programmā 2021. -2027. gadam (turpmāk – Programma) esošajiem rādītājiem un to vērtībām. Atbilstoši Programmai 3.1.1.specifiskā atbalsta mērķa “Attīstīt ilgtspējīgu, pret klimatu izturīgu, inteliģentu, drošu un vairākveidu TEN-T infrastruktūru” (turpmāk – 3.1.1.SAM) ietvaros plānots sasniegt iznākuma rādītājus "Jaunu vai modernizētu dzelzceļa sliežu garums – TEN-T" - 130km un "Jaunas vai modernizētas dzelzceļa stacijas un pieturas" - 23 (skaits), kā arī rezultāta rādītāju "Jaunuzbūvēto, jaunināto, rekonstruēto vai modernizēto sliežu ceļu lietotāju skaits gadā" - 3 534 660 (pasažieru skaits gadā). Gadījumā, ja šos rādītājus plānots sasniegt īstenojot 3.1.1.1.pasākuma “Dzelzceļa transporta attīstība un energoefektivitātes uzlabošana sabiedriskajos pasažieru pārvadājumos” 1.kārtas projektus, kā arī 2.kārtas projektus, tad lūdzam anotāciju papildināt ar skaidrojumu, kuras vērtības tiks sasniegtas 1.kārtas ietvaros un attiecīgi, kuras vērtības - 2.kārtas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noteikumu projekta 4.punktā un tā apakšpunktos minētā informācija nedublē noteikumu projekta 11.punktā un tā apakšpunktos esošo informāciju, un nepieciešamības gadījumā lūdzam tos apvienot.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būvuzraudzības, ekspertīzes, būvprojektēšanas, izpētes un inženiera izmaksas, kā arī apvienotās būvprojekta izstrādes un būvdarbu veikšanas procesa neatkarīgas uzraudzības pakalpojuma izmaksas, autoruzraudzības izmaksas un attiecīgo būvspeciālistu obligātās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lūdzam anotācijā sniegt papildu skaidrojumu par to, kāda veida pakalpojums ir paredzēts zem pozīcijas “apvienotās būvprojekta izstrādes un būvdarbu veikšanas procesa neatkarīgas uzraudzības pakalpojuma izmaksas”, kā arī skaidrot, vai šīs darbības un izmaksas nepārklājas ar būvuzraudzības un inženiera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būvniecības dokumentācijas izstrādes izmaksas, autoruzraudzība, tai skaitā izpētes dokumentācija un  būvprojektu risinājumu maiņa ar mērķi optimizēt, precizēt un salāgot risinājumus. Būvprojekta minimālā sastāvā, apliecinājumu kartes vai paskaidrojuma raksta izstrāde visām projektā paredzētajām darbībām un ar to saistīto būvekspertīžu, izpētes, slēdzienu un ekspertīzes, atļauju un nodevu izmaksas, ja to veikšana ir priekšnosacījums būvprojekta, būvdarbu ieceres dokumentācijas vai būvprojekta minimālā sastāvā izstrādei un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savstarpēji saskaņot noteikumu projekta 15.3. un 15.4. apakšpunktos minētās autoruzraudzības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15.5.8. divejāda lietojuma infrastruktūras izveides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lūdzam anotācijā skaidrot, kura projekta ietvaros ir paredzētas šāda veida darbības, kā arī norādīt šo izmaksu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izmaksas par finansējuma saņēmēja tehnikas un programmatūras nolietojumu šo noteikumu </w:t>
            </w:r>
            <w:r w:rsidR="00000000" w:rsidRPr="00000000" w:rsidDel="00000000">
              <w:rPr>
                <w:rtl w:val="0"/>
              </w:rPr>
              <w:t xml:space="preserve">15.5. </w:t>
            </w:r>
            <w:r w:rsidR="00000000" w:rsidRPr="00000000" w:rsidDel="00000000">
              <w:rPr>
                <w:rtl w:val="0"/>
              </w:rPr>
              <w:t xml:space="preserve">apakšpunktā</w:t>
            </w:r>
            <w:r w:rsidR="00000000" w:rsidRPr="00000000" w:rsidDel="00000000">
              <w:rPr>
                <w:rtl w:val="0"/>
              </w:rPr>
              <w:t xml:space="preserve"> minēto būvdarbu veikšanai, kuru izpildi nodrošina finansējuma saņēmējs un kuras  ir uzskatāmas par finansējuma saņēmēja ieguldījumu natūrā, kas maksājumu pieprasījumos tiek atspoguļots kā finansējuma saņēmēja līdzfinansējums. Finansējuma saņēmēja ieguldījums natūrā nepārsniedz 15 % no kopējām attiecināmām izmaksām, kas ir vienlīdzīgs ar valsts budžeta līdzfinansējuma apjomu. Ieguldījumiem natūrā jābūt norādītiem projekta iesniegumā, un jāapliecina, ka tie nav veikti vai iegādāti par cita veida finanšu atbalsta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ieguldījuma natūrā finansējums var nebūt paredzēts visos projektos un tā apjoms var nesasniegt 15 %, lūdzam anotācijā skaidrot, no kāda finansējuma avota tiks nodrošināts līdzfinansējums tiem projektiem, kuros ieguldījuma natūrā nebūs. Tāpat lūdzam norādīt, no kāda finansējuma avota tiks segts līdzfinansējuma apjoms, ja ieguldījuma natūrā apmērs būs mazāks par 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dzelzceļa infrastruktūras pārvaldītāja izmaksas dzelzceļa veiktspējas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lūdzam anotācijā sniegt papildu skaidrojumu par noteikumu projekta 15.13. apakšpunktā noteikto izmaksu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15.17. tehnikas izmantošanas un materiālu iegādes izmaksas šo noteikumu </w:t>
            </w:r>
            <w:r w:rsidR="00000000" w:rsidRPr="00000000" w:rsidDel="00000000">
              <w:rPr>
                <w:rtl w:val="0"/>
              </w:rPr>
              <w:t xml:space="preserve">15.5. </w:t>
            </w:r>
            <w:r w:rsidR="00000000" w:rsidRPr="00000000" w:rsidDel="00000000">
              <w:rPr>
                <w:rtl w:val="0"/>
              </w:rPr>
              <w:t xml:space="preserve">un </w:t>
            </w:r>
            <w:r w:rsidR="00000000" w:rsidRPr="00000000" w:rsidDel="00000000">
              <w:rPr>
                <w:rtl w:val="0"/>
              </w:rPr>
              <w:t xml:space="preserve">15.6. </w:t>
            </w:r>
            <w:r w:rsidR="00000000" w:rsidRPr="00000000" w:rsidDel="00000000">
              <w:rPr>
                <w:rtl w:val="0"/>
              </w:rPr>
              <w:t xml:space="preserve">apakšpunktā</w:t>
            </w:r>
            <w:r w:rsidR="00000000" w:rsidRPr="00000000" w:rsidDel="00000000">
              <w:rPr>
                <w:rtl w:val="0"/>
              </w:rPr>
              <w:t xml:space="preserve"> minēto darbu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ka noteikumu projekta 15.17. apakšpunktā minētās izmaksas par materiālu iegādes darbiem, ko finansējuma saņēmējs paredzējis veikt saviem spēkiem,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15.16. </w:t>
            </w:r>
            <w:r w:rsidR="00000000" w:rsidRPr="00000000" w:rsidDel="00000000">
              <w:rPr>
                <w:rtl w:val="0"/>
              </w:rPr>
              <w:t xml:space="preserve"> un </w:t>
            </w:r>
            <w:r w:rsidR="00000000" w:rsidRPr="00000000" w:rsidDel="00000000">
              <w:rPr>
                <w:rtl w:val="0"/>
              </w:rPr>
              <w:t xml:space="preserve">15.17. </w:t>
            </w:r>
            <w:r w:rsidR="00000000" w:rsidRPr="00000000" w:rsidDel="00000000">
              <w:rPr>
                <w:rtl w:val="0"/>
              </w:rPr>
              <w:t xml:space="preserve">apakšpunktā</w:t>
            </w:r>
            <w:r w:rsidR="00000000" w:rsidRPr="00000000" w:rsidDel="00000000">
              <w:rPr>
                <w:rtl w:val="0"/>
              </w:rPr>
              <w:t xml:space="preserve"> noteiktās attiecināmās izmaksas par finansējuma saņēmēja paša  veiktajiem darbiem  ir iespējams attiecināt, ja ir izpildīti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konkurences ietekmes izvērtējumu, norādot, vai un kā pašu spēkiem veicamie darbi ietekmē vai neietekmē tirgus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atbalstāmo darbību ietvaros radušās izmaksas var uzskatīt par attiecināmām finansēšanai no Kohēzijas fonda, ja tās atbilst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atbalstāmajām darbībām,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minētajām attiecināmajām izmaksām un atbilst šo noteikumu </w:t>
            </w:r>
            <w:r w:rsidR="00000000" w:rsidRPr="00000000" w:rsidDel="00000000">
              <w:rPr>
                <w:rtl w:val="0"/>
              </w:rPr>
              <w:t xml:space="preserve">15.11. </w:t>
            </w:r>
            <w:r w:rsidR="00000000" w:rsidRPr="00000000" w:rsidDel="00000000">
              <w:rPr>
                <w:rtl w:val="0"/>
              </w:rPr>
              <w:t xml:space="preserve">apakšpunktā</w:t>
            </w:r>
            <w:r w:rsidR="00000000" w:rsidRPr="00000000" w:rsidDel="00000000">
              <w:rPr>
                <w:rtl w:val="0"/>
              </w:rPr>
              <w:t xml:space="preserve"> ,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minētajiem izmaksu apjoma ierobežojumiem, un ir radušās ne agrāk kā 2021.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23.punktu papildināt ar nosacījumu, ka projektu ietvaros nedrīkst attiecināt jau pabeigtas darbības, t.i., darbības, kas jau pabeigtas pirms projektu iesniegumu iesniegšanas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nodrošina, ka projekts un atbalstāmās darbības tiek īstenotas ievērojot principa "nenodarīt būtisku kaitējumu"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noteikumu projekta 31.punktā iekļauti visi principa "Nenodarīt būtisku kaitējumu" (turpmāk - NBK) nosacījumi, kas minēti 3.1.1.1.pasākuma NBK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100% no projektam piešķirtā Kohēzijas fonda finansējuma, ievērojot, ka avansu var izmaksāt vairākos maksājumos un avansa un starpposma maksājumu kopsumma nepārsniedz 100 % no projektam piešķirtā Kohēzijas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 punktu atbilstoši Ministru kabineta 2023. gada 25. aprīļa noteikumu Nr. 205 “Valsts budžeta līdzekļu plānošanas kārtība Eiropas Savienības fondu projektu īstenošanai un maksājumu veikšanai 2021.–2027. gada plānošanas periodā” 17. punktam, ņemot vērā, ka atbilstoši noteikumu projektam ir paredzēts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sniegto informāciju par avansa un starpposma maksājumu kopsummas piešķiršanu līdz 100%, lūdzam anotācijā iekļaut izvērstu pamatojumu šāda avansa un starpposma apmēra kopsummas nepieciešamībai. Minēto nosaka arī Ministru kabineta 2023. gada 25. aprīļa sēdes protokollēmuma Nr. 22  25. §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100% no projektam piešķirtā Kohēzijas fonda finansējuma </w:t>
            </w:r>
            <w:r w:rsidR="00000000" w:rsidRPr="00000000" w:rsidDel="00000000">
              <w:rPr>
                <w:b w:val="1"/>
                <w:rtl w:val="0"/>
              </w:rPr>
              <w:t xml:space="preserve">un, ja tas ir paredzēts projektā, valsts budžeta līdzfinansējuma kopsummas,</w:t>
            </w:r>
            <w:r w:rsidR="00000000" w:rsidRPr="00000000" w:rsidDel="00000000">
              <w:rPr>
                <w:rtl w:val="0"/>
              </w:rPr>
              <w:t xml:space="preserve"> ievērojot, ka avansu var izmaksāt vairākos maksājumos un avansa un starpposma maksājumu kopsumma nepārsniedz 100 % no projektam piešķirtā Kohēzijas fonda finansējuma </w:t>
            </w:r>
            <w:r w:rsidR="00000000" w:rsidRPr="00000000" w:rsidDel="00000000">
              <w:rPr>
                <w:b w:val="1"/>
                <w:rtl w:val="0"/>
              </w:rPr>
              <w:t xml:space="preserve">un valsts budžeta līdzfinansējuma kopsummas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paredzētas vienkāršotās izmaksas, lūdzam papildināt noteikumu projektu ar atsauci uz Eiropas Savienības fondu 2021.-2027. gada plānošanas perioda vadības likuma 19. panta 6. punktu noteikumu projekta sadaļā "Tiesiskais pamatojums" (deleģējumā), vienlaikus noteikumu projekta 1. punktā paredzot, ka noteikumu projekts regulē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kādiem līdzekļiem tiks nodrošināta pasākuma rezultātu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anotācijas1.3.sadaļas apakšsadaļu “Risinājuma apraksts” ar informāciju par sinerģiju, papildinātību ar ES un citiem atbalsta instrumentiem, kur tikušas vai tiek īstenotas līdzīgas aktivitātes, norādot, kā tiks nodrošināta demarkācija un dubultfinansējuma riska novēršana gadījumos, kad no dažādiem finanšu avotiem varētu tikt atbalstītas vienas un tās pašas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3.1.1.1.pasākuma ietvaros plānots izmantot arī elastības finansējumu (ES fondu elastības finansējums - 12 767 785 euro), lūdzam papildināt anotāciju ar informāciju, kuras kārtas ietvaros elastības finansējumu plānots piesaistīt. Gadījumā, ja to plānots piesaistīt 1.kārtas pasākumu īstenošanai, tad vēršam uzmanību, ka nepieciešams papildināt protokollēmumu ar attiecīgu punktu, kas ļautu izmantot elastības finansējumu izmantot pirms Programmas vidusposma grozījumu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vai skaidrot, vai projektu atlase tiks veikta atbilstoši jau izstrādātajiem un apstiprinātajiem projektu iesniegumu atlases vērtēšanas kritērijiem, vai tajos plānots veikt grozījumus. Lūdzam pārliecināties, ka spēkā esošie projektu iesniegumu vērtēšanas kritēriji būs atbilstoši plānotajām 3.1.1.1.pasākuma 1.kārtas un 2.kārtas atlases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ka komunikācijas un vizuālās identitātes prasības tiks īstenotas, ievērojot Eiropas Savienības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ietvert informāciju, kas pamato izvēlēto projektu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to, vai 3.1.1.1.pasākumam būs tieša vai netieša vai nebūs ietekmes uz horizontālajiem principiem “Klimatdrošināšana”,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 (Elīna Puriņa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25-TA-1507</w:t>
    </w:r>
    <w:r>
      <w:br/>
    </w:r>
    <w:r w:rsidR="00000000" w:rsidRPr="00000000" w:rsidDel="00000000">
      <w:rPr>
        <w:rtl w:val="0"/>
      </w:rPr>
      <w:t xml:space="preserve">Izdrukāts 21.08.2025.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25-TA-1507</w:t>
    </w:r>
    <w:r>
      <w:br/>
    </w:r>
    <w:r w:rsidR="00000000" w:rsidRPr="00000000" w:rsidDel="00000000">
      <w:rPr>
        <w:rtl w:val="0"/>
      </w:rPr>
      <w:t xml:space="preserve">Izdrukāts 21.08.2025.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Atzinumi_25-TA-1507.docx</dc:title>
</cp:coreProperties>
</file>

<file path=docProps/custom.xml><?xml version="1.0" encoding="utf-8"?>
<Properties xmlns="http://schemas.openxmlformats.org/officeDocument/2006/custom-properties" xmlns:vt="http://schemas.openxmlformats.org/officeDocument/2006/docPropsVTypes"/>
</file>