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26-TA-369: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Kohēzijas politikas ES fondu, Atveseļošanas fonda, EEZ, Norvēģijas un Šveices grantu investīciju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"EEZ, Norvēģijas grantu investīciju rezultātā plānotie galvenie ieguvumi Latvijas iedzīvotājiem un tautsaimniecībai - indikatīvi, jo programmu koncepcijas vēl saskaņošanā ar donorvalstīm" (prezentācijas 15. lpp.) apgalvojums, ka programmā "Vietējā attīstība un noturība" sagaidāmais rezultāts ir pielāgotas un aprīkotas ap 500 patvertnes var radīt maldinošu priekšstatu. Pēc Iekšlietu ministrijas provizoriskajiem datiem pielāgot un aprīkot paredzēts būtiski mazāku patvertņu skaitu, tomēr šo rezultātu potenciāli var izteikt patvertņvienībās, ņemot vērā provizorisko atbalsta finansējuma gradāciju, kas informatīvajā ziņojumā nav norādīta.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Pielāgotas un aprīkotas vismaz 350 patvertnes un nodrošināti elektroģeneratori krīzes situācijām valsts sociālās aprūpes centros, slimnīcās un bibliotēkās.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Stramkalis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11.03.2026.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11.03.2026.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Atzinumi_26-TA-369.docx</dc:title>
</cp:coreProperties>
</file>

<file path=docProps/custom.xml><?xml version="1.0" encoding="utf-8"?>
<Properties xmlns="http://schemas.openxmlformats.org/officeDocument/2006/custom-properties" xmlns:vt="http://schemas.openxmlformats.org/officeDocument/2006/docPropsVTypes"/>
</file>