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pārskats_24-TA-2674)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ātrākus izpildes termiņus pasākumiem 2.4., 2.7., 2.11., 3.2. un 3.3., ņemot vērā paredzamos būtiskos ieguvumus bērnu labklājībai un tiesību aizsardzībai, kā arī šo pasākumu atbilstību vienai no Ministru prezidentes noteiktajām 2025. gada Ministru kabineta prioritātēm: atbalstam ģimenēm.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izpildes termiņus ar precizitāti līdz pusgadam pasākumiem 1.3., 1.4., 2.5. un 2.7.-2.14.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2.3. pasākumā norādīt izvēlētās programmas, kā arī norādīt pašvaldību un jauniešu skaitu, kas iesaistāmi programmās plāna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konkrēto projektu, kas iespējams kā finansējuma avots 1.5. pasākuma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provizoriskus kvantitatīvos rezultatīvos rādītājus pasākumiem 1.3.-1.5., 1.7., 1.8., 2.1. un 2.12.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1.2. pasākuma rezultatīvo rādītāju, norādot, cik dalībnieku paredzēts apmācīt plānotajās drošības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ziņas par politikas rezultātu, norādot datus par iepriekšējo periodu, lai precizētu vēlamos sasniedzamos uzlabojumus.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