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2</w:t>
            </w:r>
            <w:r w:rsidR="00000000" w:rsidRPr="00000000" w:rsidDel="00000000">
              <w:rPr>
                <w:rtl w:val="0"/>
              </w:rPr>
              <w:t xml:space="preserve"> Šo noteikumu 52. punktā minētajā gadījumā komercdarbības atbalsts, kas attiecināms uz bezatlīdzības lietošanā nodoto ēku, ēkas daļu vai ēku grupu, kurā veikts energoefektivitātes projekts, var tikt piešķirts patiesā labuma guvējam saskaņā ar Eiropas Komisijas 2011. gada 20. decembra lēmumu Nr. </w:t>
            </w:r>
            <w:r w:rsidR="00000000" w:rsidRPr="00000000" w:rsidDel="00000000">
              <w:rPr>
                <w:rtl w:val="0"/>
              </w:rPr>
              <w:t xml:space="preserve">2012/21/ES</w:t>
            </w:r>
            <w:r w:rsidR="00000000" w:rsidRPr="00000000" w:rsidDel="00000000">
              <w:rPr>
                <w:rtl w:val="0"/>
              </w:rPr>
              <w:t xml:space="preserve"> par Līguma par Eiropas Savienības darbību </w:t>
            </w:r>
            <w:r w:rsidR="00000000" w:rsidRPr="00000000" w:rsidDel="00000000">
              <w:rPr>
                <w:rtl w:val="0"/>
              </w:rPr>
              <w:t xml:space="preserve">106. panta</w:t>
            </w:r>
            <w:r w:rsidR="00000000" w:rsidRPr="00000000" w:rsidDel="00000000">
              <w:rPr>
                <w:rtl w:val="0"/>
              </w:rPr>
              <w:t xml:space="preserve"> 2. punkta piemērošanu valsts atbalstam attiecībā uz kompensāciju par sabiedriskajiem pakalpojumiem dažiem uzņēmumiem, kuriem uzticēts sniegt pakalpojumus ar vispārēju tautsaimniecisku nozīmi (turpmāk – Eiropas Komisijas lēmums Nr. </w:t>
            </w:r>
            <w:r w:rsidR="00000000" w:rsidRPr="00000000" w:rsidDel="00000000">
              <w:rPr>
                <w:rtl w:val="0"/>
              </w:rPr>
              <w:t xml:space="preserve">2012/21/ES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48.</w:t>
            </w:r>
            <w:r w:rsidR="00000000" w:rsidRPr="00000000" w:rsidDel="00000000">
              <w:rPr>
                <w:vertAlign w:val="superscript"/>
                <w:rtl w:val="0"/>
              </w:rPr>
              <w:t xml:space="preserve">2</w:t>
            </w:r>
            <w:r w:rsidR="00000000" w:rsidRPr="00000000" w:rsidDel="00000000">
              <w:rPr>
                <w:rtl w:val="0"/>
              </w:rPr>
              <w:t xml:space="preserve">, 48.</w:t>
            </w:r>
            <w:r w:rsidR="00000000" w:rsidRPr="00000000" w:rsidDel="00000000">
              <w:rPr>
                <w:vertAlign w:val="superscript"/>
                <w:rtl w:val="0"/>
              </w:rPr>
              <w:t xml:space="preserve">3</w:t>
            </w:r>
            <w:r w:rsidR="00000000" w:rsidRPr="00000000" w:rsidDel="00000000">
              <w:rPr>
                <w:rtl w:val="0"/>
              </w:rPr>
              <w:t xml:space="preserve">2., 48.</w:t>
            </w:r>
            <w:r w:rsidR="00000000" w:rsidRPr="00000000" w:rsidDel="00000000">
              <w:rPr>
                <w:vertAlign w:val="superscript"/>
                <w:rtl w:val="0"/>
              </w:rPr>
              <w:t xml:space="preserve">5 </w:t>
            </w:r>
            <w:r w:rsidR="00000000" w:rsidRPr="00000000" w:rsidDel="00000000">
              <w:rPr>
                <w:rtl w:val="0"/>
              </w:rPr>
              <w:t xml:space="preserve">un 48.</w:t>
            </w:r>
            <w:r w:rsidR="00000000" w:rsidRPr="00000000" w:rsidDel="00000000">
              <w:rPr>
                <w:vertAlign w:val="superscript"/>
                <w:rtl w:val="0"/>
              </w:rPr>
              <w:t xml:space="preserve">6</w:t>
            </w:r>
            <w:r w:rsidR="00000000" w:rsidRPr="00000000" w:rsidDel="00000000">
              <w:rPr>
                <w:rtl w:val="0"/>
              </w:rPr>
              <w:t xml:space="preserve"> punktā norādītas atsauces uz Eiropas Komisijas 2011.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 (turpmāk - Lēmums). Norādām, ka saskaņā ar Līguma par Eiropas Savienības darbību 288. pantu lēmumi, kuros ir norādīti konkrēti adresāti, ir saistoši tikai šiem adresātiem. Ja lēmumu adresāts ir dalībvalstis un ir nepieciešams to normas padarīt saistošas privātpersonām, tad lēmumi ir jāpārņem valsts tiesību sistēmā tāpat kā direktīvas.[1]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2. pants noteic, ka šo lēmumu piemēro valsts atbalstam attiecībā uz kompensāciju par sabiedrisko pakalpojumu sniegšanu, kas piešķirta uzņēmumiem, kuriem uzticēts sniegt pakalpojumus ar vispārēju tautsaimniecisku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13. pants noteic, ka šis lēmums ir adresēts dalībvalstīm. Šajā gadījumā nepieciešams izvērtēt, vai Lēmums satur tādas normas, kas attiecināmas arī uz privātpersonām. Ja Lēmums šādas normas satur, tad lūdzam tās pārņemt noteikumu projektā un attiecīgi precizēt visu noteikumu projekta, svītrojot atsauces uz Lēmumu. Ja Lēmums nesatur normas, kas jāattiecina uz privātpersonām, un Lēmumu var tieši izpildīt valsts iestādes, tad arī šādā gadījumā noteikumu projektā atsauces uz Lēmumu svītrojamas, jo atbilstoši Ministru kabineta 2009. gada 3. februāra noteikumu Nr. 108 „Normatīvo aktu projektu sagatavošanas noteikumi” 170.-172. punktam normatīvā akta tekstā atsauces raksta tikai uz Eiropas Savienības regulām.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Skat. arī Eiropas Savienības tiesību ieviešanas rokasgrāmatas 2.8. apakšnodaļu „Lēmumu ieviešana”, 48. lp., pieejama: https://www.tm.gov.lv/lv/es-tiesibu-ieviesana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26.05.2023. 07.27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26.05.2023. 07.27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