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24-TA-1955: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Elektronisko sakaru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trešo daļu pēc vārdiem “tiesību nodošana” ar vārdiem “tostarp elektronisko sakaru komersantam reorganizējoties apvienošanas, sadalīšanas vai pārveidošanas ceļā,”;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Precizējami likumprojekta 48. panta trešajā daļā paredzētie grozījumi. Minētā norma nosaka, ka ierobežotas radiofrekvenču joslas lietošanas tiesību nodošana tostarp elektronisko sakaru komersantam reorganizējoties apvienošanas, sadalīšanas vai </w:t>
            </w:r>
            <w:r w:rsidR="00000000" w:rsidRPr="00000000" w:rsidDel="00000000">
              <w:rPr>
                <w:b w:val="1"/>
                <w:rtl w:val="0"/>
              </w:rPr>
              <w:t xml:space="preserve">pārveidošanas ceļā</w:t>
            </w:r>
            <w:r w:rsidR="00000000" w:rsidRPr="00000000" w:rsidDel="00000000">
              <w:rPr>
                <w:rtl w:val="0"/>
              </w:rPr>
              <w:t xml:space="preserve">, nozīmē, ka elektronisko sakaru komersants </w:t>
            </w:r>
            <w:r w:rsidR="00000000" w:rsidRPr="00000000" w:rsidDel="00000000">
              <w:rPr>
                <w:b w:val="1"/>
                <w:rtl w:val="0"/>
              </w:rPr>
              <w:t xml:space="preserve">atdod</w:t>
            </w:r>
            <w:r w:rsidR="00000000" w:rsidRPr="00000000" w:rsidDel="00000000">
              <w:rPr>
                <w:rtl w:val="0"/>
              </w:rPr>
              <w:t xml:space="preserve"> tam piešķirtās ierobežotas radiofrekvenču joslas lietošanas tiesības </w:t>
            </w:r>
            <w:r w:rsidR="00000000" w:rsidRPr="00000000" w:rsidDel="00000000">
              <w:rPr>
                <w:b w:val="1"/>
                <w:rtl w:val="0"/>
              </w:rPr>
              <w:t xml:space="preserve">citam</w:t>
            </w:r>
            <w:r w:rsidR="00000000" w:rsidRPr="00000000" w:rsidDel="00000000">
              <w:rPr>
                <w:rtl w:val="0"/>
              </w:rPr>
              <w:t xml:space="preserve"> elektronisko sakaru komersantam, zaudējot tiesības tās turpmāk izmantot un lūgt lietošanas tiesību termiņa pagarinājumu. Norādām, ka atbilstoši Komerclikuma 337. panta pirmajai daļai, pārveidošana ir process, kurā sabiedrība maina sabiedrības veidu, saglabājot savu tiesību subjekta statusu. Proti, viena un tā pati sabiedrība, neizbeidzot savu darbību, maina savu juridisko ietvaru un, piemēram, no SIA kļūst par AS vai no personālsabiedrības tiek pārveidota par kapitālsabiedrību. Pārveidotā jeb iegūstošā sabiedrība ir tā pati pārveidojamā sabiedrība, tikai tā turpmāk darbojas kā cita veida sabiedrība. Līdz ar to pārveidošanas ceļā reorganizēta sabiedrība nekļūst par citu komersantu un saglabā iepriekš iegūtās tiesības. Šādā gadījumā būtu apsverama iespēja licencē, ar kuru piešķirtas tiesības, ietvertās informācijas maiņa, jo būs mainījusies komersanta firma (no SIA uz AS, no pilnsabiedrības uz kapitālsabiedrību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24-TA-1955</w:t>
    </w:r>
    <w:r>
      <w:br/>
    </w:r>
    <w:r w:rsidR="00000000" w:rsidRPr="00000000" w:rsidDel="00000000">
      <w:rPr>
        <w:rtl w:val="0"/>
      </w:rPr>
      <w:t xml:space="preserve">Izdrukāts 05.11.2024. 11.22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24-TA-1955</w:t>
    </w:r>
    <w:r>
      <w:br/>
    </w:r>
    <w:r w:rsidR="00000000" w:rsidRPr="00000000" w:rsidDel="00000000">
      <w:rPr>
        <w:rtl w:val="0"/>
      </w:rPr>
      <w:t xml:space="preserve">Izdrukāts 05.11.2024. 11.22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Atzinumi_24-TA-1955.docx</dc:title>
</cp:coreProperties>
</file>

<file path=docProps/custom.xml><?xml version="1.0" encoding="utf-8"?>
<Properties xmlns="http://schemas.openxmlformats.org/officeDocument/2006/custom-properties" xmlns:vt="http://schemas.openxmlformats.org/officeDocument/2006/docPropsVTypes"/>
</file>