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kā viena no problēmām ir minēta, ka atbilstoši grozāmo MK noteikumu aktuālās redakcijas 2.1. apakšpunktam attiecīgais regulējums nav attiecināms uz reklāmas objektiem, kas izvietoti uz ēkām. Kā risinājums šai problēmai ir norādīts, ka ar Noteikumu projektu tiek precizēta MK noteikumu 2. punkta redakcija, nosakot, ka prasības gaismu izstarojošiem objektiem piemērojamas arī reklāmas objektiem, kas izvietoti uz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pašā Noteikumu projektā redzams, ka tiek grozīts tikai MK noteikumu 2.2. un 2.3. apakšpunkts un nav norādīti grozījumi 2.1. apakšpunktā. Līdz ar to Ekonomikas ministrija aicina ievērot konsekvenci starp Noteikumu projektu un tā anotāciju un iekļaut Noteikumu projektā atbilstošus grozījumus MK noteikumu 2.1. apakšpunktā vai arī dzēst no anotācijas attiecīgo problēmas aprakstu un tās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nosaka jaunas prasības attiecībā uz reklāmas objektu un informācijas objektu spožumu, paredzot noteiktas robežvērtības šo objektu spožumam diennakts gaišajā un tumšajā laikā, kā arī nosaka citas jaunas uz reklāmas objektiem un informācijas objektiem attiecināmas obligātas prasības, secināms, ka Noteikumu projekts radīs mērķa grupas komersantiem atbilstības izmaksas, lai nodrošinātu reklāmas objektu atbilstību jaunajām prasībām. Līdz ar to, Ekonomikas ministrija aicina atbilstoši papildināt Noteikumu projekta anotācijas 2.4. sadaļu ar atbilstības izmaksu aprēķiniem. Ja detalizēts atbilstības izmaksu aprēķins nav iespējams, 2.sadaļā jānorāda vispārīgs atbilstības izmaksu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09.05.2024. 18.59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09.05.2024. 18.59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