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7. janvāra noteikumos Nr. 14 "Nevalstisko organizāciju un Ministru kabineta sadarbības memoranda īstenošanas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(Apkopojums par publiskās apspriešanas laikā saņemtajiem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Balsošana organizējama, ja noteiktajā termiņā saņemti vismaz astoņi pieteikumi. Ja pieteikumu skaits ir nepietiekošs, padomes sekretariāts pagarina pieteikšanās termiņu. </w:t>
            </w:r>
            <w:r w:rsidR="00000000" w:rsidRPr="00000000" w:rsidDel="00000000">
              <w:rPr>
                <w:rtl w:val="0"/>
              </w:rPr>
              <w:t xml:space="preserve">Pēc pieteikšanās termiņa noslēgšanas padomes sekretariāts organizē elektronisko balsošanu, ievietojot Ministru kabineta tīmekļvietnē nevalstisko organizāciju izvirzīto kandidātu sarakstu un šo noteikumu </w:t>
            </w:r>
            <w:r w:rsidR="00000000" w:rsidRPr="00000000" w:rsidDel="00000000">
              <w:rPr>
                <w:rtl w:val="0"/>
              </w:rPr>
              <w:t xml:space="preserve">8.</w:t>
            </w:r>
            <w:r w:rsidR="00000000" w:rsidRPr="00000000" w:rsidDel="00000000">
              <w:rPr>
                <w:rtl w:val="0"/>
              </w:rPr>
              <w:t xml:space="preserve"> punktā minēto informāciju, nosakot termiņu, līdz kuram notiek balsošana, un norādot, kādā veidā balsojums iesniedzams. Balsošanā var piedalīties visas memorandu parakstījušās nevalstiskās organizācijas. </w:t>
            </w:r>
            <w:r w:rsidR="00000000" w:rsidRPr="00000000" w:rsidDel="00000000">
              <w:rPr>
                <w:b w:val="1"/>
                <w:rtl w:val="0"/>
              </w:rPr>
              <w:t xml:space="preserve">Balsošana ir atzīstama par notikušu tad, ja tajā piedalījušās vismaz 50 nevalstiskās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organizāciju skaitu, kas nepieciešams, lai notiktu balsošana (kāpēc ir izvēlēts tieši 50 organizāciju slieksnis, kā arī, cik kopumā ir organizācijas, kuras ir parakstījušas Memorandu).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Ja tas ir lietderīgi un tam ir pieejami finanšu līdzekļi, padomes loceklim, kurš pārstāv nevalstisko organizāciju</w:t>
            </w:r>
            <w:r w:rsidR="00000000" w:rsidRPr="00000000" w:rsidDel="00000000">
              <w:rPr>
                <w:b w:val="1"/>
                <w:rtl w:val="0"/>
              </w:rPr>
              <w:t xml:space="preserve">, vai tā pilnvarotajam pārstāvim </w:t>
            </w:r>
            <w:r w:rsidR="00000000" w:rsidRPr="00000000" w:rsidDel="00000000">
              <w:rPr>
                <w:rtl w:val="0"/>
              </w:rPr>
              <w:t xml:space="preserve">var izmaksāt atlīdzību, kā arī kompensēt ceļa izdevumus, par dalību padomes sēdēs. Atlīdzību, kā arī ceļa izdevumu kompensāciju, var izmaksāt arī nevalstiskās organizācijas pārstāvim, kurš piedalās padomes izveidotajās darba grupās, kā arī nevalstiskās organizācijas pārstāvim, ko padome pēc savas iniciatīvas vai saskaņā ar attiecīgās institūcijas lūgumu deleģē darbam citu institūciju izveidotās konsultatīvajās un uzraudzības padomēs, komisijās un darba grupās. Atlīdzība ietver samaksu par sagatavošanos un piedalīšanos attiecīgajā sēdē vai sanāksmē, kā arī darba devēja valsts sociālās apdrošināšanas obligātās iemaksas. </w:t>
            </w:r>
            <w:r w:rsidR="00000000" w:rsidRPr="00000000" w:rsidDel="00000000">
              <w:rPr>
                <w:b w:val="1"/>
                <w:rtl w:val="0"/>
              </w:rPr>
              <w:t xml:space="preserve">Viena persona var vienlaicīgi saņemt atlīdzību par dalību ne vairāk kā trīs formātos (padomē, padomes darba grupā, kā deleģētais pārstāvis konsultatīvajā vai uzraudzības padomē, komisijā,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šajā punktā ietverto regulējumu attiecībā uz atlīdzības izmaksu. Vēršam uzmanību, ka no pašreizējās redakcijas nav saprotams, kas vērtēs iespējamību izmaksāt atlīdzību un kompensēt ceļa izdevumus, kā arī pēc kādiem kritērijiem tas tiks darīts, līdz ar to, attiecīgais regulējums ir necaurspīdīgs un plaši interpretējams, kas tādējādi ļauj to piemērot arī nevienlīdzīgi attiecībā uz Padomes locekļiem. Ievērojot minēto,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23-TA-1813</w:t>
    </w:r>
    <w:r>
      <w:br/>
    </w:r>
    <w:r w:rsidR="00000000" w:rsidRPr="00000000" w:rsidDel="00000000">
      <w:rPr>
        <w:rtl w:val="0"/>
      </w:rPr>
      <w:t xml:space="preserve">Izdrukāts 08.08.2024.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23-TA-1813</w:t>
    </w:r>
    <w:r>
      <w:br/>
    </w:r>
    <w:r w:rsidR="00000000" w:rsidRPr="00000000" w:rsidDel="00000000">
      <w:rPr>
        <w:rtl w:val="0"/>
      </w:rPr>
      <w:t xml:space="preserve">Izdrukāts 08.08.2024.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Atzinumi_23-TA-1813.docx</dc:title>
</cp:coreProperties>
</file>

<file path=docProps/custom.xml><?xml version="1.0" encoding="utf-8"?>
<Properties xmlns="http://schemas.openxmlformats.org/officeDocument/2006/custom-properties" xmlns:vt="http://schemas.openxmlformats.org/officeDocument/2006/docPropsVTypes"/>
</file>