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norādīts, ka projekta turpmākai uzturēšanai būs nepieciešamas 2 jaunas amata vietas. Norādām, ka Valsts kanceleja konceptuāli iebilst pret jaunu amata vietu izveidi, jo šāda pieeja nav vērsta uz mazas un efektīvās valsts pārvaldes darbu. Saskaņā ar 30.03.2023. VSS protokolu Nr.12 #4 d.k/2.1.punktu  2.punktā norādīto: "Veidojot jaunu pastāvīgu amata vietu (projekta ieviešanai vai arī pēc projekta rezultātu uzturēšanai), informācija par to norādāma Ministru kabineta sēdes protokollēmumā kā atsevišķs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tā kā nav pievienoti detalizēti aprēķini par jaunajām amata vietām nepieciešamo finansējumu, nav saprotams, kāpēc tieši pirmajā gadā papildu nepieciešamais finansējuma apmērs ir lielāks nekā turpmākajos gados, ņemot vērā, ka bāzes alga mainās atbilstoši valsts ekonomiskai izaugsmei.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norādīts, ka projekta turpmākai uzturēšanai būs nepieciešamas 2 jaunas amata vietas. Norādām, ka Valsts kanceleja konceptuāli iebilst pret jaunu amata vietu izveidi, jo šāda pieeja nav vērsta uz mazas un efektīvās valsts pārvaldes darbu. Saskaņā ar 30.03.2023. VSS protokolu Nr.12 #4 d.k/2.1.punktu  2.punktā norādīto: "Veidojot jaunu pastāvīgu amata vietu (projekta ieviešanai vai arī pēc projekta rezultātu uzturēšanai), informācija par to norādāma Ministru kabineta sēdes protokollēmumā kā atsevišķs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vai projekta ieviešanas rezultātā netiek ietekmētas atsevišķas sabiedrības grupas. Tiesību akta projekta anotācijā minēts, ka "Nodrošinot iespēju balsot elektroniski pašvaldību referendumos, tiktu radīta iespēja piedalīties tajos digitālā, ērtā un vienkāršā vidē, veicinot arī vēlētāju aktivitāti, tostarp jaunākajā vēlētāju daļā". Pēc minētā var secināt, ka projekta rezultātā pozitīvi tiks ietekmēti balsstiesīgie pašvaldību iedzīvotāji, kas varēs balsot elektroniski, ekonomējot laiku un resursus, salīdzinot ar klātienes balsošanu.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28.12.2023.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28.12.2023.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