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pasākuma ietekmes uz personu ar invaliditāti vienlīdzīgām iespējām un tiesībām aprakstu atbilstoši LM/TM vadlīnijām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pasākuma ietekmes uz dzimumu līdztiesību aprakstu atbilstoši LM/TM vadlīnijām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gaiteņu un sanitāro mezglu pārbūves un atjaunošanas izmaksas, ja tiek īstenoti šo noteikumu 20.2.1. apakšpunktā minētie darbi;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atsauci uz noteikumu projekta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03.07.2023. 20.51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03.07.2023. 20.51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Atzinumi_23-TA-1337.docx</dc:title>
</cp:coreProperties>
</file>

<file path=docProps/custom.xml><?xml version="1.0" encoding="utf-8"?>
<Properties xmlns="http://schemas.openxmlformats.org/officeDocument/2006/custom-properties" xmlns:vt="http://schemas.openxmlformats.org/officeDocument/2006/docPropsVTypes"/>
</file>