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ceturtās un piektās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 punktu atbilstoši Eiropas Savienības fondu 2021.-2027. gada plānošanas perioda vadības likuma 19. panta 13. punktā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100. punkts noteic, ka </w:t>
            </w:r>
            <w:r w:rsidR="00000000" w:rsidRPr="00000000" w:rsidDel="00000000">
              <w:rPr>
                <w:u w:val="single"/>
                <w:rtl w:val="0"/>
              </w:rPr>
              <w:t xml:space="preserve">noteikumu projekta pirmajā punktā secīgi raksta vārdus "noteikumi nosaka" un </w:t>
            </w:r>
            <w:r w:rsidR="00000000" w:rsidRPr="00000000" w:rsidDel="00000000">
              <w:rPr>
                <w:b w:val="1"/>
                <w:u w:val="single"/>
                <w:rtl w:val="0"/>
              </w:rPr>
              <w:t xml:space="preserve">likumā noteikto pilnvarojumu Ministru kabinetam</w:t>
            </w:r>
            <w:r w:rsidR="00000000" w:rsidRPr="00000000" w:rsidDel="00000000">
              <w:rPr>
                <w:rtl w:val="0"/>
              </w:rPr>
              <w:t xml:space="preserve">. Vēršam uzmanību, ka Eiropas Savienības fondu 2021.-2027. gada plānošanas perioda vadības likuma 19. panta 13. punkts cita starpā </w:t>
            </w:r>
            <w:r w:rsidR="00000000" w:rsidRPr="00000000" w:rsidDel="00000000">
              <w:rPr>
                <w:u w:val="single"/>
                <w:rtl w:val="0"/>
              </w:rPr>
              <w:t xml:space="preserve">paredz pilnvarojumu Ministru kabinetam noteikt</w:t>
            </w:r>
            <w:r w:rsidR="00000000" w:rsidRPr="00000000" w:rsidDel="00000000">
              <w:rPr>
                <w:rtl w:val="0"/>
              </w:rPr>
              <w:t xml:space="preserve">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w:t>
            </w:r>
            <w:r w:rsidR="00000000" w:rsidRPr="00000000" w:rsidDel="00000000">
              <w:rPr>
                <w:u w:val="single"/>
                <w:rtl w:val="0"/>
              </w:rPr>
              <w:t xml:space="preserve">pieejamo finansējumu</w:t>
            </w:r>
            <w:r w:rsidR="00000000" w:rsidRPr="00000000" w:rsidDel="00000000">
              <w:rPr>
                <w:rtl w:val="0"/>
              </w:rPr>
              <w:t xml:space="preserve"> (nevis plānoto un pieejamo finansējumu), </w:t>
            </w:r>
            <w:r w:rsidR="00000000" w:rsidRPr="00000000" w:rsidDel="00000000">
              <w:rPr>
                <w:u w:val="single"/>
                <w:rtl w:val="0"/>
              </w:rPr>
              <w:t xml:space="preserve">nacionālā līdzfinansējuma likmi un prasības</w:t>
            </w:r>
            <w:r w:rsidR="00000000" w:rsidRPr="00000000" w:rsidDel="00000000">
              <w:rPr>
                <w:rtl w:val="0"/>
              </w:rPr>
              <w:t xml:space="preserve"> vienīgi </w:t>
            </w:r>
            <w:r w:rsidR="00000000" w:rsidRPr="00000000" w:rsidDel="00000000">
              <w:rPr>
                <w:u w:val="single"/>
                <w:rtl w:val="0"/>
              </w:rPr>
              <w:t xml:space="preserve">projekta iesniedzējam un sadarbības partneriem (ja tos pieaicina)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5.2. </w:t>
            </w:r>
            <w:r w:rsidR="00000000" w:rsidRPr="00000000" w:rsidDel="00000000">
              <w:rPr>
                <w:rtl w:val="0"/>
              </w:rPr>
              <w:t xml:space="preserve">apakšpunktā</w:t>
            </w:r>
            <w:r w:rsidR="00000000" w:rsidRPr="00000000" w:rsidDel="00000000">
              <w:rPr>
                <w:rtl w:val="0"/>
              </w:rPr>
              <w:t xml:space="preserve"> minēto rezultāta rādītāja vērtību sasniegšanu apliecina finansējuma saņēmējs un sadarbības partneris (ja attiecināms), veicot emisiju aprēķinu atbilstoši atbildīgās iestādes metodiskajiem norādījumiem par aplēstajām siltumnīcefekta gāzu emisijām vai revitalizācijas stratēģijās norādītajam aprēķinam.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projektā ietvertās atsauces uz teritorijas revitalizācijas stratēģiju vai atbildīgās iestādes metodiskajiem norādījumiem un Eiropas Savienības fondu 2021. – 2027. gada un Atveseļošanās fonda komunikācijas un dizaina vadlīnijām, ņemot vērā, ka atbilstoši Ministru kabineta 2009. gada 3. februāra noteikumu Nr. 108 „Normatīvo aktu projektu sagatavošanas noteikumi” 131. punktam noteikumu projektā ietver atsauces uz citām projekta normām vai </w:t>
            </w:r>
            <w:r w:rsidR="00000000" w:rsidRPr="00000000" w:rsidDel="00000000">
              <w:rPr>
                <w:u w:val="single"/>
                <w:rtl w:val="0"/>
              </w:rPr>
              <w:t xml:space="preserve">tāda paša vai augstāka juridiskā spēka normatīvajiem aktiem</w:t>
            </w:r>
            <w:r w:rsidR="00000000" w:rsidRPr="00000000" w:rsidDel="00000000">
              <w:rPr>
                <w:rtl w:val="0"/>
              </w:rPr>
              <w:t xml:space="preserve">. Tāpat vēršam uzmanību, ka līdzīgi kā vadlīnijas, metodikas un rokasgrāmatas, arī stratēģijas nav juridiski saistošas privātpersonām, bet gan valsts pārvaldei. Tā kā noteikumu projekta iesniedzējs var būt arī privātpersona, kurai valsts pārvaldes pieņemtie politikas plānošanas dokumenti nav saistoši, projektā nevar uzlikt par pienākumu tiem ievērot dokumentus, kas tai nav juridiski saistoši.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vadlīniju, stratēģiju un metodiku nepieciešamo saturu pārņemt noteikumu projekta tekstā vai ietvert līgumā par projekta īstenošanu. Alternatīvi lūdzam sniegt pamatotu skaidrojumu par šādu atsauču pieļaujamību.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Mazais un vidējais uzņēmums šo noteikumu izpratnē atbilst regulas Nr. 651/2014 I pielikumam, lielais komersants šo noteikumu izpratnē ir komersants, kas neatbilst regulas Nr. 651/2014 I pielikumā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piemēram, noteikumu projekta 36. punktā, kur pārrakstīts </w:t>
            </w:r>
            <w:r w:rsidR="00000000" w:rsidRPr="00000000" w:rsidDel="00000000">
              <w:rPr>
                <w:i w:val="1"/>
                <w:rtl w:val="0"/>
              </w:rPr>
              <w:t xml:space="preserve">Komisijas 2014. gada 17. jūnija Regulas (ES) Nr. 651/2014, ar ko noteiktas atbalsta kategorijas atzīst par saderīgām ar iekšējo tirgu, piemērojot Līguma 107. un 108. pantu,</w:t>
            </w:r>
            <w:r w:rsidR="00000000" w:rsidRPr="00000000" w:rsidDel="00000000">
              <w:rPr>
                <w:rtl w:val="0"/>
              </w:rPr>
              <w:t xml:space="preserve"> 2. panta 24. punkts; noteikumu projekta 65.9. apakšpunktā, kur pārrakstīta tiesību norma, uz kuru minētajā vienībā ietverta atsauce, un visā noteikumu projektā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pārrakstīt Regulas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anotācijas 5. sadaļu, nodrošinot pilnīgu informāciju par projekta atbilstību Latvijas Republikas starptautiskajām saistībām un to izpildes atspoguļojumu (anotācijas 5. sadaļas aizpildīšanā iesakām ievērot "Vadlīnijas tiesību akta projekta sākotnējās ietekmes novērtēšanai un novērtējuma ziņojuma sagatavošanai Vienotajā tiesību aktu izstrādes un saskaņošanas portālā").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norādīta nepilnīga informācija par Eiropas Savienības tiesību normu ieviešanu, piemēram, Regulas 2022/2472 14. pants ieviests noteikumu projekta 60.1. apakšpunktā, bet visa kopumā arī projekta 71. un 81. punktā un 74.1.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Eiropas Savienības tiesību akti ieviesti pilnībā, lūdzam izvērtēt visas no tām izrietošās rīcības brīvības un atbilstoši Vadlīnijām tiesību akta projekta sākotnējās ietekmes novērtēšanai un novērtējuma ziņojuma sagatavošanai Vienotajā tiesību aktu izstrādes un saskaņošanas portālā skaidrot, "Kā ir izmantota ES tiesību aktā paredzētā rīcības brīvība dalībvalstij pārņemt vai ieviest noteiktas ES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 ailē, norādot, ka prasības ir ieviestas daļēji, lūdzam sniegt ne tikai vispārīgu norādi par to, bet arī skaidrot, kad un kādā veidā tiks nodrošināta attiecīgo regulas prasību ieviešana pilnībā, un norādīt institūciju, kas atbildīga par šo prasību ieviešanu pilnībā (atbildīgā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vai anotācijas 5.4. apakšsadaļā sniegta pilnīga informācija. Piemēra, vai, noteikumu projekta 78. punkts nav saistīts, piemēram, ar </w:t>
            </w:r>
            <w:r w:rsidR="00000000" w:rsidRPr="00000000" w:rsidDel="00000000">
              <w:rPr>
                <w:i w:val="1"/>
                <w:rtl w:val="0"/>
              </w:rPr>
              <w:t xml:space="preserve">Komisijas 2023. gada 13. decembra Regulas (ES) 2023/2831 par Līguma par Eiropas Savienības darbību 107. un 108. panta piemērošanu de minimis atbalstam</w:t>
            </w:r>
            <w:r w:rsidR="00000000" w:rsidRPr="00000000" w:rsidDel="00000000">
              <w:rPr>
                <w:rtl w:val="0"/>
              </w:rPr>
              <w:t xml:space="preserve"> 6. panta 3. punktu, kur noteikts, ka ""Dalībvalstis reģistrēto informāciju par de minimis atbalstu glabā 10 gadus no atbalsta piešķiršanas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meža ieaudzēšanai nepieciešamās ūdens līmeņa regulācijas (meliorācijas) sistēmas izbūve, atjaunošana vai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izvairoties no sinonīmu lietošanas, piemēram "ūdens līmeņa regulācijas (meliorācijas)". Norādām, ka atbilstoši juridiskās tehnikas prasībām normatīvajā aktā nelieto sinonīmus, vienu lietu konsekventi sauc vienā un tajā pašā vārdā un sinonīma lietošana iekavās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ilggadīgo stādījumu un to audzēšanai nepieciešamās infrastruktūras izveide;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23.1. apakšpunkta atbilstību 2. punktā noteiktajam, no kā attiecībā uz piektās atlases kārtu izriet ne tikai ilggadīgo stādījumu, bet arī paludikultūras stādījumu izveide, kas nav definēta pie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ceturtās un piektās atlases kārtas ietvaros ir atbalstāma renaturalizācija un ūdenstilpju izveide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minētajās teritorijās un atbilstoši šo noteikumu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ietvertajiem nosacījumiem par revitalizācijas stratēģijām vai atzinumiem, kuros iekļauti norādījumi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25. punktu, ņemot vērā, ka jau 22. punktā noteikts, ka ceturtās un piektās atlases kārtas ietvaros ir atbalstāma renaturalizācija un ūdenstilpju izveide noteikumu projekta 3. punkta minētajās teritorijās saskaņā ar 17.5.  apakšpunktā minētajām revitalizācijas stratēģijām vai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22., 40. un, piemēram, 76. punktā noteikts, ka atbalstāmo darbību attiecināmās izmaksas nosaka saskaņā ar metodiku u.tml. Iesakām nedublēt noteikumu projekta saturu, lai tiesību normu adresātam nodrošinātu vienkārši, skaidri un nepārprotami uztveramu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Pasākuma ceturtajā un piektajā atlases kārtā, īstenojot renaturalizāciju un ūdenstilpju izveidi, atbalstāmo darbību attiecināmās izmaksas nosaka un izmaksā saskaņā ar atbildīgās iestādes apstiprināto un vadošās iestādes saskaņoto metodiku, piemērojot vienkāršoto izmaksu iespējas par vienas vienības izmaksu likmēm atbilstoši Eiropas Parlamenta un Padomes 2021. gada 24. jūnija Regulas (ES) 2021/1060,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 2021/1060), 53. panta 1. punkta "b", “d” un “e”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ja nepieciešams precizēt, noteikumu projekta 26. punktu, ņemot vērā, ka jau noteikumu projekta 22. punktā noteikts, ka ceturtajā un piektajā atlases kārtā, īstenojot renaturalizāciju un ūdenstilpju izveidi, atbalstāmo darbību sedz saskaņā ar atbildīgās iestādes apstiprināto un vadošās iestādes saskaņoto vienas vienības izmaksu likmju aprēķina un piemērošanas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arī uz to, ka </w:t>
            </w:r>
            <w:r w:rsidR="00000000" w:rsidRPr="00000000" w:rsidDel="00000000">
              <w:rPr>
                <w:i w:val="1"/>
                <w:rtl w:val="0"/>
              </w:rPr>
              <w:t xml:space="preserve">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53. panta 1. punkts nosaka dotāciju veidus, ko dalībvalstis piešķir saņēmējiem, no kuriem viens ir vienības izmaksa, nevis nosacījumus atbilstoši kuriem piemēro vienkāršoto izmaksu iespējas par vienas vienības izmaksu likmēm, kā tas saprotams no projekta redakcijas. Līdzīgi iesakām pārskatīt un, ja nepieciešams, precizēt arī noteikumu projekta 40.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projekta iesniedzējs un sadarbības partneris (ja attiecināms) ir norādījis, ka projekta īstenošanas teritorijā paredzēts atjaunot purvu un/vai izveidot ūdenstilpju ekosistēmu un projekta dzīves cikla laikā netiks īstenota saimnieciskā darbība, un projekta ietvaros ir sniedzis atbilstošu apliecinājumu, kurā norādīts, ka projekta noslēgumā tiks saņemts sertificēta dabas eksperta (sugu un biotopu) purvu jomā atzinums par renaturalizētās teritorijas un ūdenstilpes atjaunošanā īstenoto darbību atbilstību purviem vai putniem nozīmīgu ūdenstilpju atbilstību, tad netiek piemērots komercdarbības atbalsta kontroles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projektā izvairīties no skaidrojuma sniegšanas iekavās un pieturzīmi iekavas aizstāt ar pieturzīmi komats, jo iekavās ietvertais teksts ir būtisks tiesību normas piemērošanā. Norādām, ka iekavās ietvertie skaidrojumi un precizējumi var padarīt tiesību aktu neskaidru un var sašaurināt vai paplašināt tiesību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projekta iesniedzējs un sadarbības partneris (ja attiecināms) ir norādījis, ka projekta īstenošanas teritorijā paredzēts atjaunot purvu un/vai izveidot ūdenstilpju ekosistēmu un projekta dzīves cikla laikā netiks īstenota saimnieciskā darbība, un projekta ietvaros ir sniedzis atbilstošu apliecinājumu, kurā norādīts, ka projekta noslēgumā tiks saņemts sertificēta dabas eksperta (sugu un biotopu) purvu jomā atzinums par renaturalizētās teritorijas un ūdenstilpes atjaunošanā īstenoto darbību atbilstību purviem vai putniem nozīmīgu ūdenstilpju atbilstību, tad netiek piemērots komercdarbības atbalsta kontroles regulējums.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formulējuma "un/vai" lietojumu.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lietojams saiklis „un” vai saiklis „vai”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saiklis „un” ir kumulatīvs nosacījums, kura lietošanas gadījumā ir jāiestājas visiem attiecināmajiem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saiklis „vai” ir alternatīvs nosacījums, kura lietošana nosaka tikai viena priekšnosacījuma iestāšanās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ar simbolu „/” saprotams gan saiklis „un”, gan saiklis „vai”. Attiecīgi, lietojot simbolu "/" nav skaidrs, kurš saiklis ar to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Pasākuma ceturtās un piektās kārtas ietvaros, īstenojot renaturalizāciju, finansējuma saņēmējam un sadarbības partnerim (ja attiecināms), lai saņemtu izmaksu par renaturalizēto teritoriju, sadarbības iestādē iesniedz eksperta purva jomā vai sertificēta dabas eksperta (sugu un biotopu) atzinumus par īstenoto renaturalizācijas darbību atbilstību ekosistēmas turpmākai attīstībai un kvalitātes nodrošināšanai, kurā jānorāda informācija par renaturalizācijas platību un par to, vai ir atjaunota augstā vai zemā purvu ekosistēma.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29. punktu, kontekstā ar 27. punktā noteikto. Pamatojoties uz  27. punktu, projekta iesniedzējs apliecina, ka projekta noslēgumā tiks saņemts sertificēta dabas eksperta (sugu un biotopu) purvu jomā atzinums par renaturalizētās teritorijas un ūdenstilpes atjaunošanā īstenoto darbību atbilstību purviem vai putniem nozīmīgu ūdenstilpju atbilstību. Savukārt no 29. punkta saprotams, ka projekta noslēgumā tiek iesniegts </w:t>
            </w:r>
            <w:r w:rsidR="00000000" w:rsidRPr="00000000" w:rsidDel="00000000">
              <w:rPr>
                <w:u w:val="single"/>
                <w:rtl w:val="0"/>
              </w:rPr>
              <w:t xml:space="preserve">eksperta purva jomā vai </w:t>
            </w:r>
            <w:r w:rsidR="00000000" w:rsidRPr="00000000" w:rsidDel="00000000">
              <w:rPr>
                <w:rtl w:val="0"/>
              </w:rPr>
              <w:t xml:space="preserve">sertificēta dabas eksperta (sugu un biotopu) atzinumus par īstenoto renaturalizācijas darbību atbilstību ekosistēmas turpmākai attīstībai un kvalitātes nodrošināšanai, kurā jānorāda informācija par renaturalizācijas platību un par to, vai ir atjaunota augstā vai zemā purvu ekosistēma. Attiecīgi, lūdzam izvērtēt, vai korekti noteikti nepieciešamie atzinumi un nav nepieciešams salāgot punktu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Mazais un vidējais uzņēmums šo noteikumu izpratnē atbilst regulas Nr. 651/2014 I pielikumam, lielais komersants šo noteikumu izpratnē ir komersants, kas neatbilst regulas Nr. 651/2014 I pielikumā noteiktajiem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36. punktu, attiecībā uz atsauci "mazais un vidējais uzņēmums" lietojot analoģisku formulējumu atsaucei uz "lielo komersantu".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Atbalsta saņemšanas nosacījumi un komercdarbības atbalsta regulējums, īstenojot meža ieaudzēšanu, meža ūdens līmeņa regulācijas (meliorācijas) sistēmas izveidi, atjaunošanu vai pārbūvi un ieaudzētā meža agrotehnisko kopšanu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konsekventus, nemainīgus formulējumus. Piemēram, no noteikumu projekta 22. punkra izriet atbalstāmā darbība "ūdens līmeņa regulācijas (meliorācijas) sistēmas </w:t>
            </w:r>
            <w:r w:rsidR="00000000" w:rsidRPr="00000000" w:rsidDel="00000000">
              <w:rPr>
                <w:u w:val="single"/>
                <w:rtl w:val="0"/>
              </w:rPr>
              <w:t xml:space="preserve">izbūve</w:t>
            </w:r>
            <w:r w:rsidR="00000000" w:rsidRPr="00000000" w:rsidDel="00000000">
              <w:rPr>
                <w:rtl w:val="0"/>
              </w:rPr>
              <w:t xml:space="preserve">, atjaunošana vai pārbūve" nevis "ūdens līmeņa regulācijas (meliorācijas) sistēmas </w:t>
            </w:r>
            <w:r w:rsidR="00000000" w:rsidRPr="00000000" w:rsidDel="00000000">
              <w:rPr>
                <w:u w:val="single"/>
                <w:rtl w:val="0"/>
              </w:rPr>
              <w:t xml:space="preserve">izveide</w:t>
            </w:r>
            <w:r w:rsidR="00000000" w:rsidRPr="00000000" w:rsidDel="00000000">
              <w:rPr>
                <w:rtl w:val="0"/>
              </w:rPr>
              <w:t xml:space="preserve">, atjaunošana vai pārbūve"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Pasākuma ceturtās un piektās atlases kārtas ietvaros ir atbalstāma meža ieaudzēšana atbilstoši normatīvajiem aktiem par meža ieaudzēšanu un ieaudzētā meža agrotehniskā kopšana, kā arī meža ieaudzēšanai nepieciešamās meža ūdens līmeņa regulācijas (meliorācijas) sistēmas izbūve, atjaunošana vai pārbūve,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minētajās teritorijās un saskaņā ar šo noteikumu </w:t>
            </w:r>
            <w:r w:rsidR="00000000" w:rsidRPr="00000000" w:rsidDel="00000000">
              <w:rPr>
                <w:rtl w:val="0"/>
              </w:rPr>
              <w:t xml:space="preserve">17.5. </w:t>
            </w:r>
            <w:r w:rsidR="00000000" w:rsidRPr="00000000" w:rsidDel="00000000">
              <w:rPr>
                <w:rtl w:val="0"/>
              </w:rPr>
              <w:t xml:space="preserve">apakšpunktā</w:t>
            </w:r>
            <w:r w:rsidR="00000000" w:rsidRPr="00000000" w:rsidDel="00000000">
              <w:rPr>
                <w:rtl w:val="0"/>
              </w:rPr>
              <w:t xml:space="preserve"> ietvertajiem nosacījumiem par revitalizācijas stratēģijām vai atzinumiem, kuros iekļauti norādījumi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nodrošināt precīzas, nepārprotamas atsauces uz normatīvajiem aktiem vai to jomu. Piemēram, ir spēkā esoši Ministru kabineta 2012. gada 2. maija noteikumi Nr. 308 "Meža atjaunošanas, meža ieaudzēšanas un plantāciju meža noteikumi" nevis noteikumi par meža ieaudzēšanu vai Ministru kabineta 2006. gada 20. jūnija noteikumi Nr. 496 "Nekustamā īpašuma lietošanas mērķu klasifikācija un nekustamā īpašuma lietošanas mērķu noteikšanas un maiņas kārtība" nevis projekta 75.10. apakšpunktā minētie "</w:t>
            </w:r>
            <w:r w:rsidR="00000000" w:rsidRPr="00000000" w:rsidDel="00000000">
              <w:rPr>
                <w:i w:val="1"/>
                <w:rtl w:val="0"/>
              </w:rPr>
              <w:t xml:space="preserve">normatīvie akti par nekustamā īpašuma lietošanas mērķu noteikšanu un lietojuma veida maiņu</w:t>
            </w:r>
            <w:r w:rsidR="00000000" w:rsidRPr="00000000" w:rsidDel="00000000">
              <w:rPr>
                <w:rtl w:val="0"/>
              </w:rPr>
              <w:t xml:space="preserve">"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Pasākuma ceturtās un piektās atlases kārtas ietvaros meža ieaudzēšana, meža ūdens līmeņa regulācijas (meliorācijas) sistēmas izbūve, atjaunošana un ieaudzētā meža agrotehniskā kopšana kvalificējas kā komercdarbības atbalsts saimnieciskās darbības veicējiem un tas tiek sniegts saskaņā ar Komisijas 2023. gada 13. decembra Regulu (ES) Nr. 2023/2831 </w:t>
            </w:r>
            <w:r w:rsidR="00000000" w:rsidRPr="00000000" w:rsidDel="00000000">
              <w:rPr>
                <w:i w:val="1"/>
                <w:rtl w:val="0"/>
              </w:rPr>
              <w:t xml:space="preserve">par Līguma par Eiropas Savienības darbību 107. un 108. panta piemērošanu</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(turpmāk – regula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noteikumu projekta tekstā un anotācijā atsauces uz Eiropas Savienības tiesību aktiem ir precīzas un korekti noformētas, piemēram, nevis "Komisijas 2023. gada 13. decembra Regulu (ES) Nr. 2023/2831 par Līguma par Eiropas Savienības darbību 107. un 108. panta piemērošanu de minimis", bet "Komisijas 2023. gada 13. decembra Regulu (ES) 2023/2831 par Līguma par Eiropas Savienības darbību 107. un 108. panta piemērošanu de minimis </w:t>
            </w:r>
            <w:r w:rsidR="00000000" w:rsidRPr="00000000" w:rsidDel="00000000">
              <w:rPr>
                <w:u w:val="single"/>
                <w:rtl w:val="0"/>
              </w:rPr>
              <w:t xml:space="preserve">atbalstam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nevis, piemēram, "Direktīva 2000/60/EK un Direktīva 2007/60/EK". Tāpat, saskaņā ar Līguma par Eiropas Savienības darbību 288. pantu „direktīvas tām dalībvalstīm, kurām tās adresētas, uzliek saistības attiecībā uz sasniedzamo rezultātu, bet ļauj šo valstu varasiestādēm noteikt to sasniegšanas formas un metodes”. Atšķirībā no regulām, direktīvas nav tieši piemērojams tiesību akts. Direktīvās tiek noteikts sasniedzamais mērķis. Dalībvalstīm ir uzdevums savlaicīgi iestrādāt direktīvu nosacījumus nacionālajos normatīvajos aktos to mērķa sasniegšanai. Proti, direktīvas ir saistošas dalībvalstīm. Savukārt dalībvalstu fiziskajām un juridiskajām personām direktīvās iekļautie nosacījumi kļūst par saistošiem tikai ar brīdi, kad pārņemti nacionālajos normatīvajos aktos. Pašreizējais apraksts veidots tā, ka saprotams, ka direktīva, pati par sevi nosaka konkrētus noteikumus. Proti, lūdzam norādīt arī nacionālos tiesību aktus, kas nodrošina skaidroto direktīvas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 nodrošina, ka tiek ievēroti aizsargjoslu likumā ietvertie ierobežojumi, kas var tikt attiecināti uz īstenošanas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projektā ietvertos nosacījumus par pienākumu ievērot normatīvo aktu prasības, ņemot vērā, ka likums u.c. ārējie normatīvie akti personai ir jāievēro neatkarīgi no tā, vai šāda norāde ir vai nav ietverta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izmaksu veic ne biežāk kā vienu reizi kalendārajā gadā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40. punktu un 45.1. apakšpunktu, ņemot vērā, ka, atbilstoši noteikumu projekta 40. punktam, attiecināmās izmaksas </w:t>
            </w:r>
            <w:r w:rsidR="00000000" w:rsidRPr="00000000" w:rsidDel="00000000">
              <w:rPr>
                <w:u w:val="single"/>
                <w:rtl w:val="0"/>
              </w:rPr>
              <w:t xml:space="preserve">izmaksā saskaņā ar metodiku</w:t>
            </w:r>
            <w:r w:rsidR="00000000" w:rsidRPr="00000000" w:rsidDel="00000000">
              <w:rPr>
                <w:rtl w:val="0"/>
              </w:rPr>
              <w:t xml:space="preserve">, bet 45.1. apakšpunktā papildus tiek noteikts, ka izmaksas izmaksā viekārši reizi kalendārajā gadā līdz 2029. gada 31. decembrim. Proti, nav skaidrs, vai starp vienībām nepastāv neatbilstības un tās ir vienkārši savstarpēji papildinošas.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60.1. ilggadīgo stādījumu izveidi īsteno mikrouzņēmumi, mazie un vidējie uzņēmumi un attiecināmas ir šo noteikumu </w:t>
            </w:r>
            <w:r w:rsidR="00000000" w:rsidRPr="00000000" w:rsidDel="00000000">
              <w:rPr>
                <w:rtl w:val="0"/>
              </w:rPr>
              <w:t xml:space="preserve">58.</w:t>
            </w:r>
            <w:r w:rsidR="00000000" w:rsidRPr="00000000" w:rsidDel="00000000">
              <w:rPr>
                <w:rtl w:val="0"/>
              </w:rPr>
              <w:t xml:space="preserve"> un </w:t>
            </w:r>
            <w:r w:rsidR="00000000" w:rsidRPr="00000000" w:rsidDel="00000000">
              <w:rPr>
                <w:rtl w:val="0"/>
              </w:rPr>
              <w:t xml:space="preserve">59.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minētās izmaksas saskaņā ar regulas Nr. 2022/2472 14.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Komisijas 2022. gada 14. decembra Regulas (ES) 2022/2472, ar kuru, piemērojot Līguma par Eiropas Savienības darbību 107. un 108. pantu, dažu kategoriju atbalstu lauksaimniecības un mežsaimniecības nozarē un lauku apvidos atzīst par saderīgu ar iekšējo tirgu,</w:t>
            </w:r>
            <w:r w:rsidR="00000000" w:rsidRPr="00000000" w:rsidDel="00000000">
              <w:rPr>
                <w:rtl w:val="0"/>
              </w:rPr>
              <w:t xml:space="preserve"> 14. pantam ir vairākas apakšvienības. Attiecīgi, lūdzam pārliecināties par to, vai uz noteikumu projektu attiecināms viss 14. pants, piemēram, nosacījumi par to, ka investīcija var būt saistīta ar biodegvielu vai enerģijas ražošanu no atjaunīgiem energoresursiem lauku saimniecībā, ja saražotais apjoms nepārsniedz gada vidējo degvielas vai enerģijas patēriņu attiecīgajā lauku saimniecībā. Pamatojoties uz izvērtējumu, nepieciešamības gadījumā, lūdzam konkretizēt atsauci uz Eiropas Savienības attiecināmo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atsaucoties uz konkrētām apakšvienībām, lūdzam nodrošināt, ka atsauces ir precīzas. Piemēram, noteikumu projekta 65.7. apakšpunktā ņemt vērā, ka ir nevis </w:t>
            </w:r>
            <w:r w:rsidR="00000000" w:rsidRPr="00000000" w:rsidDel="00000000">
              <w:rPr>
                <w:i w:val="1"/>
                <w:rtl w:val="0"/>
              </w:rPr>
              <w:t xml:space="preserve">Komisijas 2022. gada 14. decembra Regulas (ES) 2022/2472, ar kuru, piemērojot Līguma par Eiropas Savienības darbību 107. un 108. pantu, dažu kategoriju atbalstu lauksaimniecības un mežsaimniecības nozarē un lauku apvidos atzīst par saderīgu ar iekšējo tirgu,</w:t>
            </w:r>
            <w:r w:rsidR="00000000" w:rsidRPr="00000000" w:rsidDel="00000000">
              <w:rPr>
                <w:rtl w:val="0"/>
              </w:rPr>
              <w:t xml:space="preserve"> "14. panta 6. punkta 4. apakšpunkta “iv” punkts", bet "14. panta 6. punkta 4. apakšpunkta "f" punkta “iv”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Lauksaimniecībā izmantojamai zemei, kas atrodas īpaši jutīgajā teritorijā saskaņā ar normatīvajiem aktiem, mēslošanas plānu izstrādā saskaņā ar normatīvajiem aktiem par ūdens un augsnes aizsardzību no lauksaimnieciskās darbības izraisīta piesārņojuma ar nitrātiem.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63. punktā norādīt konkrētu normatīvo aktu vai to jomu, no no pašreizējās redakcijas nav skaidrs, kas punkta kontekstā saprotams ar vispārīgo atsauci "saskaņā ar normatīvajiem aktiem". Savukārt, Ministru kabineta 2011. gada 11. janvāra noteikumi Nr. 33 "Noteikumi par ūdens un augsnes aizsardzību no lauksaimnieciskās darbības izraisīta piesārņojuma ar nitrātiem", kas saprotami ar atsauci "normatīvajiem aktiem par ūdens un augsnes aizsardzību no lauksaimnieciskās darbības izraisīta piesārņojuma ar nitrātiem", ir zaudējuši spēku ar Ministru kabineta 2014. gada 23. decembra noteikumiem Nr. 834 "Prasības ūdens, augsnes un gaisa aizsardzībai no lauksaimnieciskās darbības izraisīta piesārņojuma".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precīzi atspoguļot no noteikumu projekta izrietošo, piemēram, atbilstoši noteikumu projekta 65. punktam atbalsts saskaņā ar </w:t>
            </w:r>
            <w:r w:rsidR="00000000" w:rsidRPr="00000000" w:rsidDel="00000000">
              <w:rPr>
                <w:i w:val="1"/>
                <w:rtl w:val="0"/>
              </w:rPr>
              <w:t xml:space="preserve">Komisijas 2022. gada 14. decembra Regulu (ES)  2022/2472, ar kuru, piemērojot Līguma par Eiropas Savienības darbību 107. un 108. pantu, dažu kategoriju atbalstu lauksaimniecības un mežsaimniecības nozarē un lauku apvidos atzīst par saderīgu ar iekšējo tirgu,</w:t>
            </w:r>
            <w:r w:rsidR="00000000" w:rsidRPr="00000000" w:rsidDel="00000000">
              <w:rPr>
                <w:rtl w:val="0"/>
              </w:rPr>
              <w:t xml:space="preserve"> tiek piešķirts, ievērojot, piemēram, tās 1. panta 3. punkta “c” un “d” apakšpunkta nosacījumus. Savukārt anotācijā skaidrots, ka "</w:t>
            </w:r>
            <w:r w:rsidR="00000000" w:rsidRPr="00000000" w:rsidDel="00000000">
              <w:rPr>
                <w:i w:val="1"/>
                <w:rtl w:val="0"/>
              </w:rPr>
              <w:t xml:space="preserve">atbalsts netiek piemērots gadījumos, kas minēti regulas Nr. 2022/2472 1. panta 3.–5. punktā</w:t>
            </w:r>
            <w:r w:rsidR="00000000" w:rsidRPr="00000000" w:rsidDel="00000000">
              <w:rPr>
                <w:rtl w:val="0"/>
              </w:rPr>
              <w:t xml:space="preserve"> [..]". Tāpat, piemēram, tikai vispārīgi norādīts, ka atbalsta intensitāte, saskaņā ar regulas 651/2014 45. panta 9. un 10. punkts ir 85 % (mazajiem komersantiem), 80 % (vidējiem komersantiem) un 70% (lielajiem komersantiem), bet netiek skaidrots kāpēc tieši tā. Proti, atbilstoši regulas 651/2014 45. panta 9. punkta a) apakšpunktam atbalsta intensitāte nepārsniedz konkrētas vērtības, attiecīgi var būt pat 100 % no attiecināmajām izmaksām. Lūdzam novērst arī neprecizitātes skaidrojumos, piemēram, "</w:t>
            </w:r>
            <w:r w:rsidR="00000000" w:rsidRPr="00000000" w:rsidDel="00000000">
              <w:rPr>
                <w:i w:val="1"/>
                <w:rtl w:val="0"/>
              </w:rPr>
              <w:t xml:space="preserve">attiecināt līdz </w:t>
            </w:r>
            <w:r w:rsidR="00000000" w:rsidRPr="00000000" w:rsidDel="00000000">
              <w:rPr>
                <w:i w:val="1"/>
                <w:u w:val="single"/>
                <w:rtl w:val="0"/>
              </w:rPr>
              <w:t xml:space="preserve">202. gada</w:t>
            </w:r>
            <w:r w:rsidR="00000000" w:rsidRPr="00000000" w:rsidDel="00000000">
              <w:rPr>
                <w:i w:val="1"/>
                <w:rtl w:val="0"/>
              </w:rPr>
              <w:t xml:space="preserve"> 31. decembrim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25-TA-2249</w:t>
    </w:r>
    <w:r>
      <w:br/>
    </w:r>
    <w:r w:rsidR="00000000" w:rsidRPr="00000000" w:rsidDel="00000000">
      <w:rPr>
        <w:rtl w:val="0"/>
      </w:rPr>
      <w:t xml:space="preserve">Izdrukāts 08.12.2025.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Atzinumi_25-TA-2249.docx</dc:title>
</cp:coreProperties>
</file>

<file path=docProps/custom.xml><?xml version="1.0" encoding="utf-8"?>
<Properties xmlns="http://schemas.openxmlformats.org/officeDocument/2006/custom-properties" xmlns:vt="http://schemas.openxmlformats.org/officeDocument/2006/docPropsVTypes"/>
</file>