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17. oktobra noteikumos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 (Latvijas Vēstnesis, 2023, 203.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esošo redakciju, kurā netiek pārvērtēta 6.1.1.3. pasākuma sasniedzamo rādītāju nesamērīgi augstās vērtības, kas noteiktas MK noteikumos Nr. 593.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593 10.2. apakšpunkta un 13.1. apakšpunkta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“10.2. programmas rezultāta rādītāju – to komersantu izveidotās darbavietas, kuri guvuši labumu no attīstītās publiskās infrastruktūras, – vismaz 422 pilnas slodzes ekvivalenti/gadā, tai skaitā par Taisnīgas pārkārtošanās fonda finansējumu, kas pieejams līdz 2025. gada 31. decembrim, – vismaz 394 pilnas slodzes ekvivalenti/gadā;”</w:t>
            </w:r>
            <w:r w:rsidR="00000000" w:rsidRPr="00000000" w:rsidDel="00000000">
              <w:rPr>
                <w:i w:val="1"/>
                <w:rtl w:val="0"/>
              </w:rPr>
              <w:t xml:space="preserve">“13.1. darbavietu skaitu projektā plāno  ne vairāk kā 116 777 euro Taisnīgas pārkārtošanās fonda finansējumu uz vienu darbavietu, ievērojot vismaz minimālo attiecību starp šo noteikumu  14. punktā minēto pasākumam pieejamo Taisnīgas pārkārtošanās fonda finansējumu un šo noteikumu  10.2. apakšpunktā minēto pasākuma ietvaros sasniedzamo darbavietu rādītāja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Atveseļošanas un noturības mehānisma (turpmāk – ANM) plāna 3.1. reformu un investīciju virziena “Reģionālā politika” 3.1.1.3.i. investīcijas “Investīcijas uzņēmējdarbības publiskajā infrastruktūrā industriālo parku un teritoriju attīstīšanai reģionos” (turpmāk – 3.1.1.3.i. investīcija) ietvaros plānots radīt 328 jaunas darba vietas. Investīcijai pieejamais ANM finansējums – 80 000 000 EUR. Rezultatīvi ne vairāk kā 243 902 EUR ANM finansējuma uz vienu izveidoto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6.1.1.3. pasākumā darbavietu skaitu projektā plāno ne vairāk kā 116 777 EUR Taisnīgas pārkārtošanās fonda (turpmāk – TPF) finansējumu uz vienu darbavietu (2,1 reizes mazāk kā 3.1.1.3.i. investīcijai).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minēto, aicinām ievērot vienlīdzīgu pieeju attiecībā uz atbalsta finansējuma apmēru vienai jaunizveidotai darba vietai (243 902 EUR), samazinot 6.1.1.3. pasākuma sasniedzamo rādītāju un papildinot Noteikumu projektu ar jauniem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“17. Izteikt 10.2. apakšpunktu šādā redakcijā:</w:t>
            </w:r>
            <w:r w:rsidR="00000000" w:rsidRPr="00000000" w:rsidDel="00000000">
              <w:rPr>
                <w:i w:val="1"/>
                <w:rtl w:val="0"/>
              </w:rPr>
              <w:t xml:space="preserve">“10.2. programmas rezultāta rādītāju – komersantu, kuri guvuši labumu no attīstītās publiskās infrastruktūras, izveidotās darbavietas – vismaz 202 pilnas slodzes ekvivalenti/gadā, tai skaitā par Taisnīgas pārkārtošanās fonda finansējumu, kas pieejams līdz 2025.gada 31.decembrim – vismaz 189 pilnas slodzes ekvivalenti/gadā;”;</w:t>
            </w:r>
            <w:r w:rsidR="00000000" w:rsidRPr="00000000" w:rsidDel="00000000">
              <w:rPr>
                <w:i w:val="1"/>
                <w:rtl w:val="0"/>
              </w:rPr>
              <w:t xml:space="preserve">“18. Izteikt 13.1. apakšpunktu šādā redakcijā:</w:t>
            </w:r>
            <w:r w:rsidR="00000000" w:rsidRPr="00000000" w:rsidDel="00000000">
              <w:rPr>
                <w:i w:val="1"/>
                <w:rtl w:val="0"/>
              </w:rPr>
              <w:t xml:space="preserve">“13.1. darbavietu skaitu projektā plāno  ne vairāk kā 243 902 euro Taisnīgas pārkārtošanās fonda finansējumu uz vienu darbavietu, ievērojot vismaz minimālo attiecību starp šo noteikumu  14. punktā minēto pasākumam pieejamo Taisnīgas pārkārtošanās fonda finansējumu un šo noteikumu  10.2. apakšpunktā minēto pasākuma ietvaros sasniedzamo darbavietu rādītāja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593 10.3. apakšpunkta un 13.3. apakšpunkta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“10.3. programmas rezultāta rādītāju – privātās nefinanšu investīcijas nemateriālajos ieguldījumos un pamatlīdzekļos – vismaz 32 853 186 euro, tai skaitā par Taisnīgas pārkārtošanās fonda finansējumu, kas pieejams līdz 2025. gada 31. decembrim, – vismaz 30 695 395 euro.”;</w:t>
            </w:r>
            <w:r w:rsidR="00000000" w:rsidRPr="00000000" w:rsidDel="00000000">
              <w:rPr>
                <w:i w:val="1"/>
                <w:rtl w:val="0"/>
              </w:rPr>
              <w:t xml:space="preserve">“13.3. piesaista šo noteikumu 10.3. apakšpunktā minētās privātās nefinanšu investīcijas vismaz divu trešdaļu apmērā no projektam plānotā Taisnīgas pārkārtošanās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gan 6.1.1.3. pasākuma nosacījumi nosaka, ka investīcijas ir jāveic komersantiem, garantijas par privāto nefinanšu investīciju rādītāju sasniegšanu komersantu vārdā faktiski jāsniedz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Piemēram, ja 6.1.1.3. pasākuma ietvaros tiek izbūvēta ražošanas ēka, piesaistot TPF finansējumu 4 000 000 – 5 000 000 EUR apmērā, saskaņā MK noteikumiem Nr. 593 nefinanšu investīcijas būtu jāpiesaista ne mazāk kā 2 666 667 – 3 333 333 EUR apmērā. Izbūvējot ražošanas ēku, nomniekiem vienīgās investīcijas turpmāk būs nepieciešams veikt iekārtās un ar tām saistītās sistēmās (pamatlīdzekļos), kas pamatā nebūs mērāmas miljonos, bet gan ievērojami mazākas.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valstij nav tieša labuma no nefinanšu investīciju veikšanas ražošanas iekārtās. Šāds nosacījumus faktiski ir izdevīgs ārvalstu kompānijām, kas ražo aprīkojumu, bet tam nav pozitīva efekta uz Latvijas tautsaimniecību, jo aprīkojums pamatā netiek izgatavots Latvijā jeb tiks iegādātas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samazināt privāto nefinanšu investīciju nemateriālajos ieguldījumos un pamatlīdzekļos apmēru līdz 50% no TPF finansējuma (ieteicams izvērtēt pat līdz vienas trešdaļas apmērā) un papildināt Noteikumu projektu ar jauniem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 Izteikt 10.3. apakšpunktu šādā redakcijā:</w:t>
            </w:r>
            <w:r w:rsidR="00000000" w:rsidRPr="00000000" w:rsidDel="00000000">
              <w:rPr>
                <w:i w:val="1"/>
                <w:rtl w:val="0"/>
              </w:rPr>
              <w:t xml:space="preserve">“10.3. programmas rezultāta rādītāju – privātās nefinanšu investīcijas nemateriālajos ieguldījumos un pamatlīdzekļos – vismaz 24 639 890 euro, tai skaitā par Taisnīgas pārkārtošanās fonda finansējumu, kas pieejams līdz 2025. gada 31. decembrim, – vismaz 23 021 546 euro.””;</w:t>
            </w:r>
            <w:r w:rsidR="00000000" w:rsidRPr="00000000" w:rsidDel="00000000">
              <w:rPr>
                <w:i w:val="1"/>
                <w:rtl w:val="0"/>
              </w:rPr>
              <w:t xml:space="preserve">“20. Izteikt 13.3. apakšpunktu šādā redakcijā:</w:t>
            </w:r>
            <w:r w:rsidR="00000000" w:rsidRPr="00000000" w:rsidDel="00000000">
              <w:rPr>
                <w:i w:val="1"/>
                <w:rtl w:val="0"/>
              </w:rPr>
              <w:t xml:space="preserve">“13.3. piesaista šo noteikumu 10.3. apakšpunktā minētās privātās nefinanšu investīcijas vismaz vienas puses apmērā no projektam plānotā Taisnīgas pārkārtošanās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w:t>
    </w:r>
    <w:r>
      <w:br/>
    </w:r>
    <w:r w:rsidR="00000000" w:rsidRPr="00000000" w:rsidDel="00000000">
      <w:rPr>
        <w:rtl w:val="0"/>
      </w:rPr>
      <w:t xml:space="preserve">Izdrukāts 22.02.2024. 09.29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w:t>
    </w:r>
    <w:r>
      <w:br/>
    </w:r>
    <w:r w:rsidR="00000000" w:rsidRPr="00000000" w:rsidDel="00000000">
      <w:rPr>
        <w:rtl w:val="0"/>
      </w:rPr>
      <w:t xml:space="preserve">Izdrukāts 22.02.2024. 09.29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Atzinumi_24-TA-152.docx</dc:title>
</cp:coreProperties>
</file>

<file path=docProps/custom.xml><?xml version="1.0" encoding="utf-8"?>
<Properties xmlns="http://schemas.openxmlformats.org/officeDocument/2006/custom-properties" xmlns:vt="http://schemas.openxmlformats.org/officeDocument/2006/docPropsVTypes"/>
</file>